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right" w:pos="9216" w:leader="none"/>
        </w:tabs>
        <w:jc w:val="both"/>
        <w:rPr/>
      </w:pPr>
      <w:r>
        <mc:AlternateContent>
          <mc:Choice Requires="wps">
            <w:drawing>
              <wp:anchor behindDoc="0" distT="0" distB="0" distL="114300" distR="114300" simplePos="0" locked="0" layoutInCell="1" allowOverlap="1" relativeHeight="5" wp14:anchorId="5719BF35">
                <wp:simplePos x="0" y="0"/>
                <wp:positionH relativeFrom="column">
                  <wp:posOffset>0</wp:posOffset>
                </wp:positionH>
                <wp:positionV relativeFrom="paragraph">
                  <wp:posOffset>635</wp:posOffset>
                </wp:positionV>
                <wp:extent cx="3175" cy="3175"/>
                <wp:effectExtent l="0" t="0" r="0" b="0"/>
                <wp:wrapNone/>
                <wp:docPr id="1"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lang w:eastAsia="zh-CN"/>
        </w:rPr>
        <w:t>3GPP TSG RAN WG1 Meeting #106-e</w:t>
      </w:r>
      <w:r>
        <w:rPr>
          <w:b/>
          <w:kern w:val="2"/>
          <w:lang w:eastAsia="zh-CN"/>
        </w:rPr>
        <w:tab/>
      </w:r>
      <w:r>
        <w:rPr>
          <w:rFonts w:cs="Arial" w:ascii="Arial" w:hAnsi="Arial"/>
          <w:b/>
          <w:bCs/>
          <w:color w:val="808080"/>
          <w:sz w:val="26"/>
          <w:szCs w:val="26"/>
        </w:rPr>
        <w:t>R1-2108174</w:t>
      </w:r>
    </w:p>
    <w:p>
      <w:pPr>
        <w:pStyle w:val="Normal"/>
        <w:tabs>
          <w:tab w:val="right" w:pos="9216" w:leader="none"/>
        </w:tabs>
        <w:jc w:val="both"/>
        <w:rPr/>
      </w:pPr>
      <w:bookmarkStart w:id="0" w:name="_Hlk68630309"/>
      <w:bookmarkEnd w:id="0"/>
      <w:r>
        <mc:AlternateContent>
          <mc:Choice Requires="wps">
            <w:drawing>
              <wp:anchor behindDoc="0" distT="0" distB="0" distL="114300" distR="114300" simplePos="0" locked="0" layoutInCell="1" allowOverlap="1" relativeHeight="2" wp14:anchorId="1207F3F4">
                <wp:simplePos x="0" y="0"/>
                <wp:positionH relativeFrom="column">
                  <wp:posOffset>0</wp:posOffset>
                </wp:positionH>
                <wp:positionV relativeFrom="paragraph">
                  <wp:posOffset>635</wp:posOffset>
                </wp:positionV>
                <wp:extent cx="3175" cy="3175"/>
                <wp:effectExtent l="0" t="0" r="0" b="0"/>
                <wp:wrapNone/>
                <wp:docPr id="2"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114300" distR="114300" simplePos="0" locked="0" layoutInCell="1" allowOverlap="1" relativeHeight="4" wp14:anchorId="6D30E971">
                <wp:simplePos x="0" y="0"/>
                <wp:positionH relativeFrom="column">
                  <wp:posOffset>0</wp:posOffset>
                </wp:positionH>
                <wp:positionV relativeFrom="paragraph">
                  <wp:posOffset>635</wp:posOffset>
                </wp:positionV>
                <wp:extent cx="3175" cy="3175"/>
                <wp:effectExtent l="0" t="0" r="0" b="0"/>
                <wp:wrapNone/>
                <wp:docPr id="3"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color w:val="000000"/>
          <w:kern w:val="2"/>
          <w:lang w:eastAsia="zh-CN"/>
        </w:rPr>
        <w:t>E-meeting, April 12</w:t>
      </w:r>
      <w:r>
        <w:rPr>
          <w:b/>
          <w:bCs/>
          <w:color w:val="000000"/>
          <w:kern w:val="2"/>
          <w:vertAlign w:val="superscript"/>
          <w:lang w:eastAsia="zh-CN"/>
        </w:rPr>
        <w:t>th</w:t>
      </w:r>
      <w:r>
        <w:rPr>
          <w:b/>
          <w:bCs/>
          <w:color w:val="000000"/>
          <w:kern w:val="2"/>
          <w:lang w:eastAsia="zh-CN"/>
        </w:rPr>
        <w:t xml:space="preserve"> – April 20</w:t>
      </w:r>
      <w:r>
        <w:rPr>
          <w:b/>
          <w:bCs/>
          <w:color w:val="000000"/>
          <w:kern w:val="2"/>
          <w:vertAlign w:val="superscript"/>
          <w:lang w:eastAsia="zh-CN"/>
        </w:rPr>
        <w:t>th</w:t>
      </w:r>
      <w:r>
        <w:rPr>
          <w:b/>
          <w:bCs/>
          <w:color w:val="000000"/>
          <w:kern w:val="2"/>
          <w:lang w:eastAsia="zh-CN"/>
        </w:rPr>
        <w:t>, 2021</w:t>
      </w:r>
    </w:p>
    <w:p>
      <w:pPr>
        <w:pStyle w:val="Normal"/>
        <w:pBdr>
          <w:top w:val="single" w:sz="4" w:space="1" w:color="00000A"/>
        </w:pBdr>
        <w:jc w:val="both"/>
        <w:rPr>
          <w:b/>
          <w:b/>
          <w:kern w:val="2"/>
          <w:sz w:val="16"/>
          <w:szCs w:val="16"/>
          <w:lang w:eastAsia="zh-CN"/>
        </w:rPr>
      </w:pPr>
      <w:r>
        <w:rPr>
          <w:b/>
          <w:kern w:val="2"/>
          <w:sz w:val="16"/>
          <w:szCs w:val="16"/>
          <w:lang w:eastAsia="zh-CN"/>
        </w:rPr>
      </w:r>
    </w:p>
    <w:p>
      <w:pPr>
        <w:pStyle w:val="Normal"/>
        <w:spacing w:before="0" w:after="60"/>
        <w:ind w:left="1555" w:hanging="1555"/>
        <w:jc w:val="both"/>
        <w:rPr/>
      </w:pPr>
      <w:r>
        <w:rPr>
          <w:b/>
          <w:kern w:val="2"/>
          <w:lang w:eastAsia="zh-CN"/>
        </w:rPr>
        <w:t>Agenda Item:</w:t>
        <w:tab/>
        <w:t>8.5.3</w:t>
      </w:r>
    </w:p>
    <w:p>
      <w:pPr>
        <w:pStyle w:val="Normal"/>
        <w:spacing w:before="0" w:after="60"/>
        <w:ind w:left="1555" w:hanging="1555"/>
        <w:jc w:val="both"/>
        <w:rPr/>
      </w:pPr>
      <w:r>
        <w:rPr>
          <w:b/>
          <w:kern w:val="2"/>
          <w:lang w:eastAsia="zh-CN"/>
        </w:rPr>
        <w:t>Source:</w:t>
        <w:tab/>
        <w:t>CEWiT</w:t>
      </w:r>
    </w:p>
    <w:p>
      <w:pPr>
        <w:pStyle w:val="Normal"/>
        <w:spacing w:before="0" w:after="60"/>
        <w:ind w:left="1555" w:hanging="1555"/>
        <w:jc w:val="both"/>
        <w:rPr/>
      </w:pPr>
      <w:r>
        <w:rPr>
          <w:b/>
          <w:kern w:val="2"/>
          <w:lang w:eastAsia="zh-CN"/>
        </w:rPr>
        <w:t>Title:</w:t>
        <w:tab/>
      </w:r>
      <w:bookmarkStart w:id="1" w:name="__DdeLink__697_4264958340"/>
      <w:bookmarkStart w:id="2" w:name="__DdeLink__355_4264958340"/>
      <w:r>
        <w:rPr>
          <w:b/>
          <w:kern w:val="2"/>
          <w:lang w:eastAsia="zh-CN"/>
        </w:rPr>
        <w:t>Discussion on enhancements for DL-AoD positioning</w:t>
      </w:r>
      <w:bookmarkEnd w:id="1"/>
      <w:bookmarkEnd w:id="2"/>
    </w:p>
    <w:p>
      <w:pPr>
        <w:pStyle w:val="Normal"/>
        <w:spacing w:before="0" w:after="60"/>
        <w:ind w:left="1555" w:hanging="1555"/>
        <w:jc w:val="both"/>
        <w:rPr/>
      </w:pPr>
      <w:r>
        <w:rPr>
          <w:b/>
          <w:kern w:val="2"/>
          <w:lang w:eastAsia="zh-CN"/>
        </w:rPr>
        <w:t>Document for:</w:t>
        <w:tab/>
        <w:t xml:space="preserve">Discussion and Decision </w:t>
      </w:r>
    </w:p>
    <w:p>
      <w:pPr>
        <w:pStyle w:val="Normal"/>
        <w:pBdr>
          <w:bottom w:val="single" w:sz="4" w:space="1" w:color="00000A"/>
        </w:pBdr>
        <w:jc w:val="both"/>
        <w:rPr>
          <w:b/>
          <w:b/>
          <w:kern w:val="2"/>
          <w:sz w:val="16"/>
          <w:szCs w:val="16"/>
          <w:lang w:eastAsia="zh-CN"/>
        </w:rPr>
      </w:pPr>
      <w:r>
        <w:rPr>
          <w:b/>
          <w:kern w:val="2"/>
          <w:sz w:val="16"/>
          <w:szCs w:val="16"/>
          <w:lang w:eastAsia="zh-CN"/>
        </w:rPr>
      </w:r>
    </w:p>
    <w:p>
      <w:pPr>
        <w:pStyle w:val="Normal"/>
        <w:jc w:val="both"/>
        <w:rPr/>
      </w:pPr>
      <w:r>
        <w:rPr/>
      </w:r>
    </w:p>
    <w:p>
      <w:pPr>
        <w:pStyle w:val="Heading1"/>
        <w:numPr>
          <w:ilvl w:val="0"/>
          <w:numId w:val="2"/>
        </w:numPr>
        <w:jc w:val="both"/>
        <w:rPr/>
      </w:pPr>
      <w:r>
        <w:rPr/>
        <w:t>Introduction</w:t>
      </w:r>
    </w:p>
    <w:p>
      <w:pPr>
        <w:pStyle w:val="Normal"/>
        <w:jc w:val="both"/>
        <w:rPr/>
      </w:pPr>
      <w:r>
        <w:rPr>
          <w:lang w:eastAsia="zh-CN"/>
        </w:rPr>
        <w:t>In RAN#90-e</w:t>
      </w:r>
      <w:r>
        <w:rPr>
          <w:lang w:eastAsia="zh-CN"/>
        </w:rPr>
        <w:t>[1]</w:t>
      </w:r>
      <w:r>
        <w:rPr>
          <w:lang w:eastAsia="zh-CN"/>
        </w:rPr>
        <w:t>, the approved WI for Rel-17 positioning enhancement includes enhancement for DL-AoD positioning method for better angle-based positioning estimation. RAN1 started work on this WI in RAN1#104-e. So far following are the agreements relevant to this contribution,</w:t>
      </w:r>
    </w:p>
    <w:p>
      <w:pPr>
        <w:pStyle w:val="Normal"/>
        <w:jc w:val="both"/>
        <w:rPr>
          <w:lang w:eastAsia="zh-CN"/>
        </w:rPr>
      </w:pPr>
      <w:r>
        <w:rPr>
          <w:lang w:eastAsia="zh-CN"/>
        </w:rPr>
      </w:r>
    </w:p>
    <w:p>
      <w:pPr>
        <w:pStyle w:val="Normal"/>
        <w:jc w:val="both"/>
        <w:rPr/>
      </w:pPr>
      <w:r>
        <w:rPr>
          <w:highlight w:val="green"/>
          <w:lang w:eastAsia="x-none"/>
        </w:rPr>
        <w:t>Agreement:</w:t>
      </w:r>
    </w:p>
    <w:p>
      <w:pPr>
        <w:pStyle w:val="Normal"/>
        <w:jc w:val="both"/>
        <w:rPr/>
      </w:pPr>
      <w:r>
        <w:rPr>
          <w:lang w:eastAsia="x-none"/>
        </w:rPr>
        <w:t>For both UE-based and UE-assisted DL-AOD, the UE can be requested subject to UE capability to measure and report (for UE-assisted) the PRS RSRP of the first path</w:t>
      </w:r>
    </w:p>
    <w:p>
      <w:pPr>
        <w:pStyle w:val="Normal"/>
        <w:numPr>
          <w:ilvl w:val="0"/>
          <w:numId w:val="4"/>
        </w:numPr>
        <w:jc w:val="both"/>
        <w:rPr/>
      </w:pPr>
      <w:r>
        <w:rPr>
          <w:lang w:eastAsia="x-none"/>
        </w:rPr>
        <w:t>FFS: Details of measurement and reporting of PRS RSRP of the first path</w:t>
      </w:r>
    </w:p>
    <w:p>
      <w:pPr>
        <w:pStyle w:val="Normal"/>
        <w:jc w:val="both"/>
        <w:rPr>
          <w:lang w:eastAsia="x-none"/>
        </w:rPr>
      </w:pPr>
      <w:r>
        <w:rPr>
          <w:lang w:eastAsia="x-none"/>
        </w:rPr>
      </w:r>
    </w:p>
    <w:p>
      <w:pPr>
        <w:pStyle w:val="Normal"/>
        <w:jc w:val="both"/>
        <w:rPr/>
      </w:pPr>
      <w:r>
        <w:rPr>
          <w:highlight w:val="green"/>
          <w:lang w:eastAsia="x-none"/>
        </w:rPr>
        <w:t>Agreement:</w:t>
      </w:r>
    </w:p>
    <w:p>
      <w:pPr>
        <w:pStyle w:val="Normal"/>
        <w:jc w:val="both"/>
        <w:rPr/>
      </w:pPr>
      <w:r>
        <w:rPr>
          <w:lang w:eastAsia="x-none"/>
        </w:rPr>
        <w:t>For UE-assisted DL-AOD positioning method, select one or more of the following to enhance the signaling to the UE for the purpose of PRS resource(s) measurement and reporting:</w:t>
      </w:r>
    </w:p>
    <w:p>
      <w:pPr>
        <w:pStyle w:val="Normal"/>
        <w:numPr>
          <w:ilvl w:val="0"/>
          <w:numId w:val="4"/>
        </w:numPr>
        <w:jc w:val="both"/>
        <w:rPr/>
      </w:pPr>
      <w:r>
        <w:rPr>
          <w:lang w:eastAsia="x-none"/>
        </w:rPr>
        <w:t>Option 1: the LMF explicitly identify adjacent beams in the assistance data (AD)</w:t>
      </w:r>
    </w:p>
    <w:p>
      <w:pPr>
        <w:pStyle w:val="Normal"/>
        <w:numPr>
          <w:ilvl w:val="0"/>
          <w:numId w:val="4"/>
        </w:numPr>
        <w:jc w:val="both"/>
        <w:rPr/>
      </w:pPr>
      <w:r>
        <w:rPr>
          <w:lang w:eastAsia="x-none"/>
        </w:rPr>
        <w:t xml:space="preserve">Option 2: the LMF send the beam information in the AD with an order of priority of PRS resources.  </w:t>
      </w:r>
    </w:p>
    <w:p>
      <w:pPr>
        <w:pStyle w:val="Normal"/>
        <w:numPr>
          <w:ilvl w:val="0"/>
          <w:numId w:val="4"/>
        </w:numPr>
        <w:jc w:val="both"/>
        <w:rPr/>
      </w:pPr>
      <w:r>
        <w:rPr>
          <w:lang w:eastAsia="x-none"/>
        </w:rPr>
        <w:t xml:space="preserve">Option 3: the LMF includes boresight direction information for each PRS resource in the assistance data. </w:t>
      </w:r>
    </w:p>
    <w:p>
      <w:pPr>
        <w:pStyle w:val="Normal"/>
        <w:numPr>
          <w:ilvl w:val="0"/>
          <w:numId w:val="4"/>
        </w:numPr>
        <w:jc w:val="both"/>
        <w:rPr/>
      </w:pPr>
      <w:r>
        <w:rPr>
          <w:lang w:eastAsia="x-none"/>
        </w:rPr>
        <w:t>Option 4: the LMF send the beam information in the AD with indicated subset of PRS resources.</w:t>
      </w:r>
    </w:p>
    <w:p>
      <w:pPr>
        <w:pStyle w:val="Normal"/>
        <w:numPr>
          <w:ilvl w:val="0"/>
          <w:numId w:val="4"/>
        </w:numPr>
        <w:jc w:val="both"/>
        <w:rPr/>
      </w:pPr>
      <w:r>
        <w:rPr>
          <w:lang w:eastAsia="x-none"/>
        </w:rPr>
        <w:t>FFS: Detailed signalling and procedure</w:t>
      </w:r>
    </w:p>
    <w:p>
      <w:pPr>
        <w:pStyle w:val="Normal"/>
        <w:numPr>
          <w:ilvl w:val="0"/>
          <w:numId w:val="4"/>
        </w:numPr>
        <w:jc w:val="both"/>
        <w:rPr/>
      </w:pPr>
      <w:r>
        <w:rPr>
          <w:lang w:eastAsia="x-none"/>
        </w:rPr>
        <w:t xml:space="preserve">FFS: How to define adjacent beams  </w:t>
      </w:r>
    </w:p>
    <w:p>
      <w:pPr>
        <w:pStyle w:val="Normal"/>
        <w:jc w:val="both"/>
        <w:rPr>
          <w:lang w:eastAsia="x-none"/>
        </w:rPr>
      </w:pPr>
      <w:r>
        <w:rPr>
          <w:lang w:eastAsia="x-none"/>
        </w:rPr>
      </w:r>
    </w:p>
    <w:p>
      <w:pPr>
        <w:pStyle w:val="Normal"/>
        <w:jc w:val="both"/>
        <w:rPr/>
      </w:pPr>
      <w:r>
        <w:rPr>
          <w:highlight w:val="green"/>
          <w:lang w:eastAsia="x-none"/>
        </w:rPr>
        <w:t>Agreement:</w:t>
      </w:r>
    </w:p>
    <w:p>
      <w:pPr>
        <w:pStyle w:val="Normal"/>
        <w:jc w:val="both"/>
        <w:rPr/>
      </w:pPr>
      <w:r>
        <w:rPr>
          <w:rFonts w:ascii="Times New Roman" w:hAnsi="Times New Roman"/>
          <w:szCs w:val="20"/>
        </w:rPr>
        <w:t>For the beam/antenna information to be optionally provided to the LMF by the gnodeB, select one or more of the following:</w:t>
      </w:r>
    </w:p>
    <w:p>
      <w:pPr>
        <w:pStyle w:val="Normal"/>
        <w:numPr>
          <w:ilvl w:val="0"/>
          <w:numId w:val="4"/>
        </w:numPr>
        <w:jc w:val="both"/>
        <w:rPr/>
      </w:pPr>
      <w:r>
        <w:rPr>
          <w:rFonts w:ascii="Times New Roman" w:hAnsi="Times New Roman"/>
          <w:szCs w:val="20"/>
          <w:lang w:eastAsia="x-none"/>
        </w:rPr>
        <w:t>Option 1: the gNB reports the antenna configuration including at least the following parameter:</w:t>
      </w:r>
    </w:p>
    <w:p>
      <w:pPr>
        <w:pStyle w:val="ListParagraph"/>
        <w:numPr>
          <w:ilvl w:val="1"/>
          <w:numId w:val="6"/>
        </w:numPr>
        <w:spacing w:lineRule="auto" w:line="259"/>
        <w:jc w:val="both"/>
        <w:rPr/>
      </w:pPr>
      <w:r>
        <w:rPr>
          <w:rFonts w:cs="Times New Roman" w:ascii="Times New Roman" w:hAnsi="Times New Roman"/>
          <w:sz w:val="20"/>
          <w:szCs w:val="20"/>
        </w:rPr>
        <w:t xml:space="preserve">the number of antenna elements (vertical and horizontal) </w:t>
      </w:r>
    </w:p>
    <w:p>
      <w:pPr>
        <w:pStyle w:val="ListParagraph"/>
        <w:numPr>
          <w:ilvl w:val="1"/>
          <w:numId w:val="5"/>
        </w:numPr>
        <w:spacing w:lineRule="auto" w:line="259"/>
        <w:jc w:val="both"/>
        <w:rPr/>
      </w:pPr>
      <w:r>
        <w:rPr>
          <w:rFonts w:cs="Times New Roman" w:ascii="Times New Roman" w:hAnsi="Times New Roman"/>
          <w:sz w:val="20"/>
          <w:szCs w:val="20"/>
        </w:rPr>
        <w:t>antenna spacing dh and dv</w:t>
      </w:r>
    </w:p>
    <w:p>
      <w:pPr>
        <w:pStyle w:val="ListParagraph"/>
        <w:numPr>
          <w:ilvl w:val="1"/>
          <w:numId w:val="5"/>
        </w:numPr>
        <w:spacing w:lineRule="auto" w:line="259"/>
        <w:jc w:val="both"/>
        <w:rPr/>
      </w:pPr>
      <w:r>
        <w:rPr>
          <w:rFonts w:cs="Times New Roman" w:ascii="Times New Roman" w:hAnsi="Times New Roman"/>
          <w:sz w:val="20"/>
          <w:szCs w:val="20"/>
        </w:rPr>
        <w:t>FFS: For DFT-based beams,</w:t>
      </w:r>
      <w:r>
        <w:rPr>
          <w:rFonts w:cs="Times New Roman" w:ascii="Times New Roman" w:hAnsi="Times New Roman"/>
          <w:sz w:val="20"/>
          <w:szCs w:val="20"/>
          <w:u w:val="single"/>
        </w:rPr>
        <w:t xml:space="preserve"> </w:t>
      </w:r>
      <w:r>
        <w:rPr>
          <w:rFonts w:cs="Times New Roman" w:ascii="Times New Roman" w:hAnsi="Times New Roman"/>
          <w:sz w:val="20"/>
          <w:szCs w:val="20"/>
        </w:rPr>
        <w:t>precoder information for each PRS resource</w:t>
      </w:r>
    </w:p>
    <w:p>
      <w:pPr>
        <w:pStyle w:val="ListParagraph"/>
        <w:numPr>
          <w:ilvl w:val="2"/>
          <w:numId w:val="5"/>
        </w:numPr>
        <w:spacing w:lineRule="auto" w:line="259"/>
        <w:jc w:val="both"/>
        <w:rPr/>
      </w:pPr>
      <w:r>
        <w:rPr>
          <w:rFonts w:cs="Times New Roman" w:ascii="Times New Roman" w:hAnsi="Times New Roman"/>
          <w:sz w:val="20"/>
          <w:szCs w:val="20"/>
        </w:rPr>
        <w:t>Check whether the already reported boresight directions are sufficient, or whether more information is needed</w:t>
      </w:r>
    </w:p>
    <w:p>
      <w:pPr>
        <w:pStyle w:val="ListParagraph"/>
        <w:numPr>
          <w:ilvl w:val="1"/>
          <w:numId w:val="5"/>
        </w:numPr>
        <w:spacing w:lineRule="auto" w:line="259"/>
        <w:jc w:val="both"/>
        <w:rPr/>
      </w:pPr>
      <w:r>
        <w:rPr>
          <w:rFonts w:cs="Times New Roman" w:ascii="Times New Roman" w:hAnsi="Times New Roman"/>
          <w:sz w:val="20"/>
          <w:szCs w:val="20"/>
        </w:rPr>
        <w:t>FFS: Antenna Element pattern Information</w:t>
      </w:r>
    </w:p>
    <w:p>
      <w:pPr>
        <w:pStyle w:val="ListParagraph"/>
        <w:numPr>
          <w:ilvl w:val="2"/>
          <w:numId w:val="5"/>
        </w:numPr>
        <w:spacing w:lineRule="auto" w:line="259"/>
        <w:jc w:val="both"/>
        <w:rPr/>
      </w:pPr>
      <w:r>
        <w:rPr>
          <w:rFonts w:cs="Times New Roman" w:ascii="Times New Roman" w:hAnsi="Times New Roman"/>
          <w:sz w:val="20"/>
          <w:szCs w:val="20"/>
        </w:rPr>
        <w:t>FFS: Details</w:t>
      </w:r>
    </w:p>
    <w:p>
      <w:pPr>
        <w:pStyle w:val="ListParagraph"/>
        <w:numPr>
          <w:ilvl w:val="1"/>
          <w:numId w:val="5"/>
        </w:numPr>
        <w:spacing w:lineRule="auto" w:line="259"/>
        <w:jc w:val="both"/>
        <w:rPr/>
      </w:pPr>
      <w:r>
        <w:rPr>
          <w:rFonts w:cs="Times New Roman" w:ascii="Times New Roman" w:hAnsi="Times New Roman"/>
          <w:sz w:val="20"/>
          <w:szCs w:val="20"/>
        </w:rPr>
        <w:t>FFS: If additional information about panel/orientation is needed</w:t>
      </w:r>
    </w:p>
    <w:p>
      <w:pPr>
        <w:pStyle w:val="ListParagraph"/>
        <w:numPr>
          <w:ilvl w:val="0"/>
          <w:numId w:val="6"/>
        </w:numPr>
        <w:spacing w:lineRule="auto" w:line="259"/>
        <w:jc w:val="both"/>
        <w:rPr/>
      </w:pPr>
      <w:r>
        <w:rPr>
          <w:rFonts w:cs="Times New Roman" w:ascii="Times New Roman" w:hAnsi="Times New Roman"/>
          <w:sz w:val="20"/>
          <w:szCs w:val="20"/>
        </w:rPr>
        <w:t>Option 2: the gNB reports a mapping of angle and beam gains for each of the PRS resources.</w:t>
      </w:r>
    </w:p>
    <w:p>
      <w:pPr>
        <w:pStyle w:val="ListParagraph"/>
        <w:numPr>
          <w:ilvl w:val="1"/>
          <w:numId w:val="5"/>
        </w:numPr>
        <w:spacing w:lineRule="auto" w:line="259"/>
        <w:jc w:val="both"/>
        <w:rPr/>
      </w:pPr>
      <w:r>
        <w:rPr>
          <w:rFonts w:cs="Times New Roman" w:ascii="Times New Roman" w:hAnsi="Times New Roman"/>
          <w:sz w:val="20"/>
          <w:szCs w:val="20"/>
        </w:rPr>
        <w:t>FFS: representation of the mapping (e.g. parametric function approximating the beam response, or gain/angle table, beamwidth, intersection point of multiple beams (angle, RSRP)intersection point)</w:t>
      </w:r>
    </w:p>
    <w:p>
      <w:pPr>
        <w:pStyle w:val="ListParagraph"/>
        <w:numPr>
          <w:ilvl w:val="0"/>
          <w:numId w:val="6"/>
        </w:numPr>
        <w:spacing w:lineRule="auto" w:line="259"/>
        <w:jc w:val="both"/>
        <w:rPr/>
      </w:pPr>
      <w:r>
        <w:rPr>
          <w:rFonts w:cs="Times New Roman" w:ascii="Times New Roman" w:hAnsi="Times New Roman"/>
          <w:sz w:val="20"/>
          <w:szCs w:val="20"/>
        </w:rPr>
        <w:t>Other options are not precluded</w:t>
      </w:r>
    </w:p>
    <w:p>
      <w:pPr>
        <w:pStyle w:val="ListParagraph"/>
        <w:numPr>
          <w:ilvl w:val="0"/>
          <w:numId w:val="6"/>
        </w:numPr>
        <w:spacing w:lineRule="auto" w:line="259"/>
        <w:jc w:val="both"/>
        <w:rPr/>
      </w:pPr>
      <w:r>
        <w:rPr>
          <w:rFonts w:cs="Times New Roman" w:ascii="Times New Roman" w:hAnsi="Times New Roman"/>
          <w:sz w:val="20"/>
          <w:szCs w:val="20"/>
        </w:rPr>
        <w:t>In either option, the gNB beam/antenna information can optionally be provided to the UE by the LMF for UE-based DL-AoD</w:t>
      </w:r>
    </w:p>
    <w:p>
      <w:pPr>
        <w:pStyle w:val="Normal"/>
        <w:jc w:val="both"/>
        <w:rPr>
          <w:rFonts w:ascii="Times New Roman" w:hAnsi="Times New Roman"/>
          <w:lang w:eastAsia="x-none"/>
        </w:rPr>
      </w:pPr>
      <w:r>
        <w:rPr>
          <w:rFonts w:ascii="Times New Roman" w:hAnsi="Times New Roman"/>
          <w:lang w:eastAsia="x-none"/>
        </w:rPr>
      </w:r>
    </w:p>
    <w:p>
      <w:pPr>
        <w:pStyle w:val="Normal"/>
        <w:jc w:val="both"/>
        <w:rPr/>
      </w:pPr>
      <w:r>
        <w:rPr>
          <w:highlight w:val="green"/>
          <w:lang w:eastAsia="x-none"/>
        </w:rPr>
        <w:t>Agreement:</w:t>
      </w:r>
    </w:p>
    <w:p>
      <w:pPr>
        <w:pStyle w:val="Normal"/>
        <w:numPr>
          <w:ilvl w:val="0"/>
          <w:numId w:val="7"/>
        </w:numPr>
        <w:jc w:val="both"/>
        <w:rPr/>
      </w:pPr>
      <w:r>
        <w:rPr/>
        <w:t>For both UE-based and UE-assisted DL methods, at least for two-stage PRS beam sweeping, study further at least the following:</w:t>
      </w:r>
    </w:p>
    <w:p>
      <w:pPr>
        <w:pStyle w:val="Normal"/>
        <w:numPr>
          <w:ilvl w:val="1"/>
          <w:numId w:val="7"/>
        </w:numPr>
        <w:jc w:val="both"/>
        <w:rPr/>
      </w:pPr>
      <w:r>
        <w:rPr/>
        <w:t>Enhancements in the association between resources belonging to two DL PRS resource sets of the same TRP</w:t>
      </w:r>
    </w:p>
    <w:p>
      <w:pPr>
        <w:pStyle w:val="Normal"/>
        <w:numPr>
          <w:ilvl w:val="0"/>
          <w:numId w:val="7"/>
        </w:numPr>
        <w:jc w:val="both"/>
        <w:rPr/>
      </w:pPr>
      <w:r>
        <w:rPr/>
        <w:t xml:space="preserve">Companies are encouraged to evaluate whether other potential enhancements in this subagenda or other sub agendas (e.g. additional beam information, on-demand PRS framework) could be used to enable this feature (potentially by implementation). </w:t>
      </w:r>
    </w:p>
    <w:p>
      <w:pPr>
        <w:pStyle w:val="Normal"/>
        <w:jc w:val="both"/>
        <w:rPr/>
      </w:pPr>
      <w:r>
        <w:rPr/>
        <w:t>Note: Two-stage PRS beam sweeping corresponds to different DL PRS resource sets</w:t>
      </w:r>
    </w:p>
    <w:p>
      <w:pPr>
        <w:pStyle w:val="Normal"/>
        <w:pBdr>
          <w:bottom w:val="single" w:sz="4" w:space="1" w:color="00000A"/>
        </w:pBdr>
        <w:jc w:val="both"/>
        <w:rPr>
          <w:lang w:val="en-US" w:eastAsia="x-none"/>
        </w:rPr>
      </w:pPr>
      <w:r>
        <w:rPr>
          <w:lang w:val="en-US" w:eastAsia="x-none"/>
        </w:rPr>
      </w:r>
    </w:p>
    <w:p>
      <w:pPr>
        <w:pStyle w:val="Heading1"/>
        <w:numPr>
          <w:ilvl w:val="0"/>
          <w:numId w:val="2"/>
        </w:numPr>
        <w:jc w:val="both"/>
        <w:rPr/>
      </w:pPr>
      <w:r>
        <w:rPr>
          <w:rFonts w:eastAsia="SimSun" w:cs="Times New Roman"/>
          <w:b/>
          <w:bCs/>
          <w:sz w:val="28"/>
          <w:szCs w:val="28"/>
          <w:lang w:val="en-US" w:eastAsia="x-none"/>
        </w:rPr>
        <w:t>On multipath reporting for DL-AoD</w:t>
      </w:r>
    </w:p>
    <w:p>
      <w:pPr>
        <w:pStyle w:val="Normal"/>
        <w:jc w:val="both"/>
        <w:rPr/>
      </w:pPr>
      <w:r>
        <w:rPr>
          <w:lang w:eastAsia="x-none"/>
        </w:rPr>
        <w:t xml:space="preserve">The release-16 signalling for DL-AoD is extremely limited for NLOS scenarios. The measurements don’t provide enough information about the state of the link as DL-PRS RSRP doesn’t capture the first arrival path (FAP) information. To address this issue, enhanced signalling and reporting was agreed for DL-AoD method and many companies agreed that timing and power information can help in improving the AOD estimation accuracy. </w:t>
      </w:r>
      <w:r>
        <w:rPr>
          <w:rFonts w:ascii="Times New Roman" w:hAnsi="Times New Roman"/>
          <w:szCs w:val="20"/>
          <w:lang w:val="en-US" w:eastAsia="x-none"/>
        </w:rPr>
        <w:t xml:space="preserve">In RAN1 meeting-105e, an agreement was made on FAP-RSRP but no consensus could be reached on FAP-TOA. FAP-TOA is a crucial measurement for DL-AoD method in two ways. Firstly, it helps in NLOS identification as shown in </w:t>
      </w:r>
      <w:r>
        <w:rPr>
          <w:rFonts w:ascii="Times New Roman" w:hAnsi="Times New Roman"/>
          <w:szCs w:val="20"/>
          <w:lang w:val="en-US" w:eastAsia="x-none"/>
        </w:rPr>
        <w:t>Figure 1</w:t>
      </w:r>
      <w:r>
        <w:rPr>
          <w:rFonts w:ascii="Times New Roman" w:hAnsi="Times New Roman"/>
          <w:szCs w:val="20"/>
          <w:lang w:val="en-US" w:eastAsia="x-none"/>
        </w:rPr>
        <w:t xml:space="preserve">. In obstructed LOS scenarios, a beam having extremely suppressed LOS path could have a higher FAP-RSRP than another beam having a weak but recognizable LOS path. In such scenarios, FAP-TOA can help the LMF in identifying the correct AoD measurement. Secondly, the three measurements give a superior positioning performance using a hybrid positioning method. Further, in dense scenarios where the probability of LOS is extremely low, the multipath based positioning provides better accuracy than its counterpart which is severely affected by the NLOS bias. </w:t>
      </w:r>
    </w:p>
    <w:p>
      <w:pPr>
        <w:pStyle w:val="Normal"/>
        <w:spacing w:before="4652" w:after="0"/>
        <w:jc w:val="both"/>
        <w:rPr/>
      </w:pPr>
      <w:r>
        <mc:AlternateContent>
          <mc:Choice Requires="wpg">
            <w:drawing>
              <wp:anchor behindDoc="0" distT="91440" distB="91440" distL="114300" distR="114300" simplePos="0" locked="0" layoutInCell="1" allowOverlap="1" relativeHeight="3" wp14:anchorId="20F8B833">
                <wp:simplePos x="0" y="0"/>
                <wp:positionH relativeFrom="column">
                  <wp:posOffset>241300</wp:posOffset>
                </wp:positionH>
                <wp:positionV relativeFrom="page">
                  <wp:posOffset>4257675</wp:posOffset>
                </wp:positionV>
                <wp:extent cx="5953760" cy="2954655"/>
                <wp:effectExtent l="0" t="0" r="0" b="0"/>
                <wp:wrapTopAndBottom/>
                <wp:docPr id="4" name="Group 104"/>
                <a:graphic xmlns:a="http://schemas.openxmlformats.org/drawingml/2006/main">
                  <a:graphicData uri="http://schemas.microsoft.com/office/word/2010/wordprocessingGroup">
                    <wpg:wgp>
                      <wpg:cNvGrpSpPr/>
                      <wpg:grpSpPr>
                        <a:xfrm>
                          <a:off x="0" y="0"/>
                          <a:ext cx="5952960" cy="2954160"/>
                        </a:xfrm>
                      </wpg:grpSpPr>
                      <pic:pic xmlns:pic="http://schemas.openxmlformats.org/drawingml/2006/picture">
                        <pic:nvPicPr>
                          <pic:cNvPr id="0" name="Graphic 102" descr=""/>
                          <pic:cNvPicPr/>
                        </pic:nvPicPr>
                        <pic:blipFill>
                          <a:blip r:embed="rId2"/>
                          <a:stretch/>
                        </pic:blipFill>
                        <pic:spPr>
                          <a:xfrm>
                            <a:off x="7560" y="0"/>
                            <a:ext cx="5945400" cy="2924280"/>
                          </a:xfrm>
                          <a:prstGeom prst="rect">
                            <a:avLst/>
                          </a:prstGeom>
                          <a:ln>
                            <a:noFill/>
                          </a:ln>
                        </pic:spPr>
                      </pic:pic>
                      <wps:wsp>
                        <wps:cNvSpPr/>
                        <wps:spPr>
                          <a:xfrm>
                            <a:off x="0" y="2658240"/>
                            <a:ext cx="5945040" cy="295920"/>
                          </a:xfrm>
                          <a:prstGeom prst="rect">
                            <a:avLst/>
                          </a:prstGeom>
                          <a:solidFill>
                            <a:srgbClr val="ffffff"/>
                          </a:solidFill>
                          <a:ln>
                            <a:noFill/>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20"/>
                                  <w:vertAlign w:val="baseline"/>
                                  <w:position w:val="0"/>
                                  <w:sz w:val="20"/>
                                  <w:i w:val="false"/>
                                  <w:dstrike w:val="false"/>
                                  <w:strike w:val="false"/>
                                  <w:u w:val="none"/>
                                  <w:b w:val="false"/>
                                  <w:sz w:val="20"/>
                                  <w:rFonts w:cs="" w:cstheme="minorBidi" w:eastAsia="Calibri" w:ascii="Calibri" w:hAnsi="Calibri"/>
                                  <w:color w:val="000000"/>
                                  <w:lang w:val="en-US"/>
                                </w:rPr>
                                <w:t>Figure 1: Inaccuracies in DL-AoD methods due to reporting of FAP-RSRP alone in obstructed LOS scenarios.</w:t>
                              </w:r>
                            </w:p>
                          </w:txbxContent>
                        </wps:txbx>
                        <wps:bodyPr lIns="0" rIns="0" tIns="0" bIns="0">
                          <a:spAutoFit/>
                        </wps:bodyPr>
                      </wps:wsp>
                    </wpg:wgp>
                  </a:graphicData>
                </a:graphic>
              </wp:anchor>
            </w:drawing>
          </mc:Choice>
          <mc:Fallback>
            <w:pict>
              <v:group id="shape_0" alt="Group 104" style="position:absolute;margin-left:19pt;margin-top:335.25pt;width:468.75pt;height:232.6pt" coordorigin="380,6705" coordsize="9375,4652">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phic 102" stroked="f" style="position:absolute;left:392;top:6705;width:9362;height:4604;mso-position-vertical-relative:page" type="shapetype_75">
                  <v:imagedata r:id="rId2" o:detectmouseclick="t"/>
                  <w10:wrap type="none"/>
                  <v:stroke color="#3465a4" joinstyle="round" endcap="flat"/>
                </v:shape>
                <v:rect id="shape_0" fillcolor="white" stroked="f" style="position:absolute;left:380;top:10891;width:9361;height:465;mso-position-vertical-relative:page">
                  <v:textbox>
                    <w:txbxContent>
                      <w:p>
                        <w:pPr>
                          <w:overflowPunct w:val="false"/>
                          <w:spacing w:before="0" w:after="0" w:lineRule="auto" w:line="240"/>
                          <w:jc w:val="left"/>
                          <w:rPr/>
                        </w:pPr>
                        <w:r>
                          <w:rPr>
                            <w:spacing w:val="0"/>
                            <w:smallCaps w:val="false"/>
                            <w:caps w:val="false"/>
                            <w:iCs w:val="false"/>
                            <w:bCs w:val="false"/>
                            <w:szCs w:val="20"/>
                            <w:vertAlign w:val="baseline"/>
                            <w:position w:val="0"/>
                            <w:sz w:val="20"/>
                            <w:i w:val="false"/>
                            <w:dstrike w:val="false"/>
                            <w:strike w:val="false"/>
                            <w:u w:val="none"/>
                            <w:b w:val="false"/>
                            <w:sz w:val="20"/>
                            <w:rFonts w:cs="" w:cstheme="minorBidi" w:eastAsia="Calibri" w:ascii="Calibri" w:hAnsi="Calibri"/>
                            <w:color w:val="000000"/>
                            <w:lang w:val="en-US"/>
                          </w:rPr>
                          <w:t>Figure 1: Inaccuracies in DL-AoD methods due to reporting of FAP-RSRP alone in obstructed LOS scenarios.</w:t>
                        </w:r>
                      </w:p>
                    </w:txbxContent>
                  </v:textbox>
                  <w10:wrap type="square"/>
                  <v:fill o:detectmouseclick="t" type="solid" color2="black"/>
                  <v:stroke color="#3465a4" joinstyle="round" endcap="flat"/>
                </v:rect>
              </v:group>
            </w:pict>
          </mc:Fallback>
        </mc:AlternateContent>
      </w:r>
      <w:r>
        <w:rPr>
          <w:rFonts w:ascii="Times New Roman" w:hAnsi="Times New Roman"/>
          <w:szCs w:val="20"/>
          <w:lang w:val="en-US" w:eastAsia="x-none"/>
        </w:rPr>
        <w:t>In last meeting, many companies had issues with respect to reporting of path specific angle of departure (AoD) reporting. The AoD estimation requires assistance information corresponding to  antenna panels from gNB to UE. This could pose a huge overhead on the network and may not even be possible. However, the angle of arrival (DL-AoA) can be estimated at the UE as an implementation-based solution. For UEs with few antennas, it will be difficult to estimate the UE’s path-angle of arrival (path-AoA). However, for UE having more than 16 physical antennas, the UE-AoA can be estimated. This information combined with UE-orientation can give precise information about the UE-AoA and the proposed method doesn’t have significant standards impact. The FAP-UE-AoA measurement can help LMF in NLOS identification based on the alignment of BS-AoD, UE-AoA + UE-orientation and also with NLOS bias correction when combined with additional path information.</w:t>
      </w:r>
    </w:p>
    <w:p>
      <w:pPr>
        <w:pStyle w:val="Normal"/>
        <w:jc w:val="both"/>
        <w:rPr/>
      </w:pPr>
      <w:r>
        <w:rPr/>
      </w:r>
    </w:p>
    <w:p>
      <w:pPr>
        <w:pStyle w:val="Normal"/>
        <w:jc w:val="both"/>
        <w:rPr>
          <w:lang w:val="en-US" w:eastAsia="x-none"/>
        </w:rPr>
      </w:pPr>
      <w:r>
        <w:rPr>
          <w:lang w:val="en-US" w:eastAsia="x-none"/>
        </w:rPr>
      </w:r>
    </w:p>
    <w:p>
      <w:pPr>
        <w:pStyle w:val="Normal"/>
        <w:jc w:val="both"/>
        <w:rPr>
          <w:b/>
          <w:b/>
          <w:bCs/>
          <w:lang w:val="en-US" w:eastAsia="x-none"/>
        </w:rPr>
      </w:pPr>
      <w:r>
        <w:rPr>
          <w:b/>
          <w:bCs/>
          <w:lang w:val="en-US" w:eastAsia="x-none"/>
        </w:rPr>
      </w:r>
    </w:p>
    <w:p>
      <w:pPr>
        <w:pStyle w:val="Normal"/>
        <w:jc w:val="both"/>
        <w:rPr/>
      </w:pPr>
      <w:r>
        <w:rPr>
          <w:b/>
          <w:bCs/>
          <w:u w:val="single"/>
          <w:lang w:val="en-US" w:eastAsia="x-none"/>
        </w:rPr>
        <w:t>Observation 1</w:t>
      </w:r>
      <w:r>
        <w:rPr>
          <w:b/>
          <w:bCs/>
          <w:lang w:val="en-US" w:eastAsia="x-none"/>
        </w:rPr>
        <w:t>: Multipath measurements help in improving the accuracy of DL_AoD positioning based on NLOS mitigation and multipath positioning.</w:t>
      </w:r>
    </w:p>
    <w:p>
      <w:pPr>
        <w:pStyle w:val="Normal"/>
        <w:jc w:val="both"/>
        <w:rPr/>
      </w:pPr>
      <w:r>
        <w:rPr/>
      </w:r>
    </w:p>
    <w:p>
      <w:pPr>
        <w:pStyle w:val="Normal"/>
        <w:jc w:val="both"/>
        <w:rPr/>
      </w:pPr>
      <w:r>
        <w:rPr>
          <w:b/>
          <w:bCs/>
          <w:u w:val="single"/>
          <w:lang w:val="en-US" w:eastAsia="x-none"/>
        </w:rPr>
        <w:t>Observation 2</w:t>
      </w:r>
      <w:r>
        <w:rPr>
          <w:b/>
          <w:bCs/>
          <w:lang w:val="en-US" w:eastAsia="x-none"/>
        </w:rPr>
        <w:t xml:space="preserve">: </w:t>
      </w:r>
      <w:r>
        <w:rPr>
          <w:rFonts w:ascii="Times New Roman" w:hAnsi="Times New Roman"/>
          <w:b/>
          <w:bCs/>
          <w:szCs w:val="20"/>
          <w:lang w:val="en-US" w:eastAsia="x-none"/>
        </w:rPr>
        <w:t>The FAP-UE-AoA measurement can help LMF in both NLOS identification and NLOS bias correction.</w:t>
      </w:r>
    </w:p>
    <w:p>
      <w:pPr>
        <w:pStyle w:val="Normal"/>
        <w:jc w:val="both"/>
        <w:rPr>
          <w:lang w:val="en-US"/>
        </w:rPr>
      </w:pPr>
      <w:r>
        <w:rPr>
          <w:lang w:val="en-US"/>
        </w:rPr>
      </w:r>
    </w:p>
    <w:p>
      <w:pPr>
        <w:pStyle w:val="Normal"/>
        <w:jc w:val="both"/>
        <w:rPr/>
      </w:pPr>
      <w:r>
        <w:rPr>
          <w:b/>
          <w:bCs/>
          <w:u w:val="single"/>
          <w:lang w:val="en-US" w:eastAsia="x-none"/>
        </w:rPr>
        <w:t>Proposal 1</w:t>
      </w:r>
      <w:r>
        <w:rPr>
          <w:b/>
          <w:bCs/>
          <w:lang w:val="en-US" w:eastAsia="x-none"/>
        </w:rPr>
        <w:t>:</w:t>
      </w:r>
      <w:r>
        <w:rPr>
          <w:lang w:val="en-US"/>
        </w:rPr>
        <w:t xml:space="preserve"> </w:t>
      </w:r>
      <w:r>
        <w:rPr>
          <w:b/>
          <w:bCs/>
          <w:lang w:val="en-US"/>
        </w:rPr>
        <w:t>For DL_AoD based positioning,</w:t>
      </w:r>
      <w:r>
        <w:rPr>
          <w:lang w:val="en-US"/>
        </w:rPr>
        <w:t xml:space="preserve"> </w:t>
      </w:r>
      <w:r>
        <w:rPr>
          <w:b/>
          <w:bCs/>
          <w:lang w:val="en-US"/>
        </w:rPr>
        <w:t xml:space="preserve">the standards should support reporting of </w:t>
      </w:r>
      <w:r>
        <w:rPr>
          <w:b/>
          <w:bCs/>
          <w:lang w:val="en-US" w:eastAsia="x-none"/>
        </w:rPr>
        <w:t xml:space="preserve">FAP- RSRP and FAP-TOA </w:t>
      </w:r>
      <w:r>
        <w:rPr>
          <w:b/>
          <w:bCs/>
          <w:lang w:val="en-US"/>
        </w:rPr>
        <w:t>measurements by UE.</w:t>
      </w:r>
    </w:p>
    <w:p>
      <w:pPr>
        <w:pStyle w:val="Normal"/>
        <w:jc w:val="both"/>
        <w:rPr>
          <w:lang w:val="en-US"/>
        </w:rPr>
      </w:pPr>
      <w:r>
        <w:rPr>
          <w:lang w:val="en-US"/>
        </w:rPr>
      </w:r>
    </w:p>
    <w:p>
      <w:pPr>
        <w:pStyle w:val="Normal"/>
        <w:jc w:val="both"/>
        <w:rPr/>
      </w:pPr>
      <w:r>
        <w:rPr>
          <w:b/>
          <w:bCs/>
          <w:u w:val="single"/>
          <w:lang w:val="en-US" w:eastAsia="x-none"/>
        </w:rPr>
        <w:t>Proposal 2</w:t>
      </w:r>
      <w:r>
        <w:rPr>
          <w:b/>
          <w:bCs/>
          <w:lang w:val="en-US" w:eastAsia="x-none"/>
        </w:rPr>
        <w:t>:</w:t>
      </w:r>
      <w:r>
        <w:rPr>
          <w:lang w:val="en-US"/>
        </w:rPr>
        <w:t xml:space="preserve"> </w:t>
      </w:r>
      <w:r>
        <w:rPr>
          <w:b/>
          <w:bCs/>
          <w:lang w:val="en-US"/>
        </w:rPr>
        <w:t>For DL_AoD based positioning,</w:t>
      </w:r>
      <w:r>
        <w:rPr>
          <w:lang w:val="en-US"/>
        </w:rPr>
        <w:t xml:space="preserve"> </w:t>
      </w:r>
      <w:r>
        <w:rPr>
          <w:b/>
          <w:bCs/>
          <w:lang w:val="en-US"/>
        </w:rPr>
        <w:t xml:space="preserve">the standards should also support reporting of </w:t>
      </w:r>
      <w:r>
        <w:rPr>
          <w:b/>
          <w:bCs/>
          <w:lang w:val="en-US" w:eastAsia="x-none"/>
        </w:rPr>
        <w:t>FAP-UE-AoA</w:t>
      </w:r>
      <w:r>
        <w:rPr>
          <w:b/>
          <w:bCs/>
          <w:lang w:val="en-US"/>
        </w:rPr>
        <w:t xml:space="preserve"> and UE-orientation measurements by UE to LMP.</w:t>
      </w:r>
    </w:p>
    <w:p>
      <w:pPr>
        <w:pStyle w:val="Normal"/>
        <w:pBdr>
          <w:bottom w:val="single" w:sz="4" w:space="1" w:color="00000A"/>
        </w:pBdr>
        <w:jc w:val="both"/>
        <w:rPr/>
      </w:pPr>
      <w:r>
        <w:rPr/>
      </w:r>
    </w:p>
    <w:p>
      <w:pPr>
        <w:pStyle w:val="Normal"/>
        <w:pBdr>
          <w:bottom w:val="single" w:sz="4" w:space="1" w:color="00000A"/>
        </w:pBdr>
        <w:jc w:val="both"/>
        <w:rPr>
          <w:b/>
          <w:b/>
          <w:bCs/>
          <w:lang w:val="en-US" w:eastAsia="x-none"/>
        </w:rPr>
      </w:pPr>
      <w:r>
        <w:rPr>
          <w:b/>
          <w:bCs/>
          <w:lang w:val="en-US" w:eastAsia="x-none"/>
        </w:rPr>
      </w:r>
    </w:p>
    <w:p>
      <w:pPr>
        <w:pStyle w:val="Heading1"/>
        <w:numPr>
          <w:ilvl w:val="0"/>
          <w:numId w:val="2"/>
        </w:numPr>
        <w:jc w:val="both"/>
        <w:rPr/>
      </w:pPr>
      <w:r>
        <w:rPr>
          <w:lang w:eastAsia="x-none"/>
        </w:rPr>
        <w:t>Conclusion</w:t>
      </w:r>
    </w:p>
    <w:p>
      <w:pPr>
        <w:pStyle w:val="Normal"/>
        <w:jc w:val="both"/>
        <w:rPr/>
      </w:pPr>
      <w:r>
        <w:rPr>
          <w:lang w:val="en-US" w:eastAsia="x-none"/>
        </w:rPr>
        <w:t>This contribution provides following observation and proposal,</w:t>
      </w:r>
    </w:p>
    <w:p>
      <w:pPr>
        <w:pStyle w:val="Normal"/>
        <w:jc w:val="both"/>
        <w:rPr>
          <w:lang w:val="en-US" w:eastAsia="x-none"/>
        </w:rPr>
      </w:pPr>
      <w:r>
        <w:rPr>
          <w:lang w:val="en-US" w:eastAsia="x-none"/>
        </w:rPr>
      </w:r>
    </w:p>
    <w:p>
      <w:pPr>
        <w:pStyle w:val="Normal"/>
        <w:jc w:val="both"/>
        <w:rPr/>
      </w:pPr>
      <w:r>
        <w:rPr>
          <w:b/>
          <w:bCs/>
          <w:u w:val="single"/>
          <w:lang w:val="en-US" w:eastAsia="x-none"/>
        </w:rPr>
        <w:t>Observation 1</w:t>
      </w:r>
      <w:r>
        <w:rPr>
          <w:b/>
          <w:bCs/>
          <w:lang w:val="en-US" w:eastAsia="x-none"/>
        </w:rPr>
        <w:t>: Multipath measurements help in improving the accuracy of DL_AoD positioning based on NLOS mitigation and multipath positioning.</w:t>
      </w:r>
    </w:p>
    <w:p>
      <w:pPr>
        <w:pStyle w:val="Normal"/>
        <w:jc w:val="both"/>
        <w:rPr>
          <w:b/>
          <w:b/>
          <w:bCs/>
          <w:lang w:val="en-US" w:eastAsia="x-none"/>
        </w:rPr>
      </w:pPr>
      <w:r>
        <w:rPr>
          <w:b/>
          <w:bCs/>
          <w:lang w:val="en-US" w:eastAsia="x-none"/>
        </w:rPr>
      </w:r>
    </w:p>
    <w:p>
      <w:pPr>
        <w:pStyle w:val="Normal"/>
        <w:jc w:val="both"/>
        <w:rPr/>
      </w:pPr>
      <w:r>
        <w:rPr>
          <w:b/>
          <w:bCs/>
          <w:u w:val="single"/>
          <w:lang w:val="en-US" w:eastAsia="x-none"/>
        </w:rPr>
        <w:t>Observation 2</w:t>
      </w:r>
      <w:r>
        <w:rPr>
          <w:b/>
          <w:bCs/>
          <w:lang w:val="en-US" w:eastAsia="x-none"/>
        </w:rPr>
        <w:t xml:space="preserve">: </w:t>
      </w:r>
      <w:r>
        <w:rPr>
          <w:rFonts w:ascii="Times New Roman" w:hAnsi="Times New Roman"/>
          <w:b/>
          <w:bCs/>
          <w:szCs w:val="20"/>
          <w:lang w:val="en-US" w:eastAsia="x-none"/>
        </w:rPr>
        <w:t>The FAP-UE-AoA measurement can help LMF in both NLOS identification and NLOS bias correction.</w:t>
      </w:r>
    </w:p>
    <w:p>
      <w:pPr>
        <w:pStyle w:val="Normal"/>
        <w:jc w:val="both"/>
        <w:rPr>
          <w:lang w:val="en-US"/>
        </w:rPr>
      </w:pPr>
      <w:r>
        <w:rPr>
          <w:lang w:val="en-US"/>
        </w:rPr>
      </w:r>
    </w:p>
    <w:p>
      <w:pPr>
        <w:pStyle w:val="Normal"/>
        <w:jc w:val="both"/>
        <w:rPr/>
      </w:pPr>
      <w:r>
        <w:rPr>
          <w:b/>
          <w:bCs/>
          <w:u w:val="single"/>
          <w:lang w:val="en-US" w:eastAsia="x-none"/>
        </w:rPr>
        <w:t>Proposal 1</w:t>
      </w:r>
      <w:r>
        <w:rPr>
          <w:b/>
          <w:bCs/>
          <w:lang w:val="en-US" w:eastAsia="x-none"/>
        </w:rPr>
        <w:t>:</w:t>
      </w:r>
      <w:r>
        <w:rPr>
          <w:lang w:val="en-US"/>
        </w:rPr>
        <w:t xml:space="preserve"> </w:t>
      </w:r>
      <w:r>
        <w:rPr>
          <w:b/>
          <w:bCs/>
          <w:lang w:val="en-US"/>
        </w:rPr>
        <w:t>For DL_AoD based positioning,</w:t>
      </w:r>
      <w:r>
        <w:rPr>
          <w:lang w:val="en-US"/>
        </w:rPr>
        <w:t xml:space="preserve"> </w:t>
      </w:r>
      <w:r>
        <w:rPr>
          <w:b/>
          <w:bCs/>
          <w:lang w:val="en-US"/>
        </w:rPr>
        <w:t xml:space="preserve">the standards should support reporting of </w:t>
      </w:r>
      <w:r>
        <w:rPr>
          <w:b/>
          <w:bCs/>
          <w:lang w:val="en-US" w:eastAsia="x-none"/>
        </w:rPr>
        <w:t xml:space="preserve">FAP- RSRP and FAP-RTOA </w:t>
      </w:r>
      <w:r>
        <w:rPr>
          <w:b/>
          <w:bCs/>
          <w:lang w:val="en-US"/>
        </w:rPr>
        <w:t>measurements by UE.</w:t>
      </w:r>
    </w:p>
    <w:p>
      <w:pPr>
        <w:pStyle w:val="Normal"/>
        <w:jc w:val="both"/>
        <w:rPr>
          <w:u w:val="none"/>
          <w:lang w:val="en-US"/>
        </w:rPr>
      </w:pPr>
      <w:r>
        <w:rPr>
          <w:u w:val="none"/>
          <w:lang w:val="en-US"/>
        </w:rPr>
      </w:r>
    </w:p>
    <w:p>
      <w:pPr>
        <w:pStyle w:val="Normal"/>
        <w:jc w:val="both"/>
        <w:rPr>
          <w:b/>
          <w:b/>
          <w:bCs/>
          <w:lang w:val="en-US"/>
        </w:rPr>
      </w:pPr>
      <w:r>
        <w:rPr>
          <w:b/>
          <w:bCs/>
          <w:u w:val="single"/>
          <w:lang w:val="en-US" w:eastAsia="x-none"/>
        </w:rPr>
        <w:t>Proposal 2:</w:t>
      </w:r>
      <w:r>
        <w:rPr>
          <w:b/>
          <w:bCs/>
          <w:u w:val="none"/>
          <w:lang w:val="en-US" w:eastAsia="x-none"/>
        </w:rPr>
        <w:t xml:space="preserve"> For DL_AoD based positioning, the standards should also support reporting of FAP-UE-AoA and UE-orientation measurements by UE to LMP.</w:t>
      </w:r>
    </w:p>
    <w:p>
      <w:pPr>
        <w:pStyle w:val="Normal"/>
        <w:pBdr>
          <w:bottom w:val="single" w:sz="4" w:space="1" w:color="00000A"/>
        </w:pBdr>
        <w:jc w:val="both"/>
        <w:rPr>
          <w:lang w:eastAsia="x-none"/>
        </w:rPr>
      </w:pPr>
      <w:r>
        <w:rPr>
          <w:lang w:eastAsia="x-none"/>
        </w:rPr>
      </w:r>
    </w:p>
    <w:p>
      <w:pPr>
        <w:pStyle w:val="Heading1"/>
        <w:numPr>
          <w:ilvl w:val="0"/>
          <w:numId w:val="2"/>
        </w:numPr>
        <w:jc w:val="both"/>
        <w:rPr/>
      </w:pPr>
      <w:r>
        <w:rPr>
          <w:lang w:eastAsia="x-none"/>
        </w:rPr>
        <w:t>References</w:t>
      </w:r>
    </w:p>
    <w:p>
      <w:pPr>
        <w:pStyle w:val="ListParagraph"/>
        <w:widowControl w:val="false"/>
        <w:numPr>
          <w:ilvl w:val="0"/>
          <w:numId w:val="3"/>
        </w:numPr>
        <w:tabs>
          <w:tab w:val="left" w:pos="708" w:leader="none"/>
        </w:tabs>
        <w:spacing w:before="0" w:after="60"/>
        <w:jc w:val="both"/>
        <w:rPr/>
      </w:pPr>
      <w:hyperlink r:id="rId3">
        <w:r>
          <w:rPr>
            <w:rStyle w:val="ListLabel31"/>
            <w:rFonts w:eastAsia="SimSun" w:cs="SimSun" w:ascii="Times New Roman" w:hAnsi="Times New Roman"/>
            <w:b w:val="false"/>
            <w:bCs w:val="false"/>
            <w:sz w:val="20"/>
            <w:szCs w:val="20"/>
            <w:lang w:val="en-US" w:eastAsia="zh-CN"/>
          </w:rPr>
          <w:t>RP-202900</w:t>
        </w:r>
      </w:hyperlink>
      <w:r>
        <w:rPr>
          <w:rFonts w:eastAsia="SimSun" w:cs="SimSun" w:ascii="Times New Roman" w:hAnsi="Times New Roman"/>
          <w:b w:val="false"/>
          <w:bCs w:val="false"/>
          <w:sz w:val="20"/>
          <w:szCs w:val="20"/>
          <w:lang w:val="en-US" w:eastAsia="zh-CN"/>
        </w:rPr>
        <w:t>, “New WID on NR Positioning Enhancements”, CATT, Intel Corporation, Ericsson.</w:t>
      </w:r>
    </w:p>
    <w:p>
      <w:pPr>
        <w:pStyle w:val="ListParagraph"/>
        <w:widowControl w:val="false"/>
        <w:numPr>
          <w:ilvl w:val="0"/>
          <w:numId w:val="3"/>
        </w:numPr>
        <w:tabs>
          <w:tab w:val="left" w:pos="708" w:leader="none"/>
        </w:tabs>
        <w:spacing w:before="0" w:after="60"/>
        <w:jc w:val="both"/>
        <w:rPr/>
      </w:pPr>
      <w:r>
        <w:rPr>
          <w:rStyle w:val="InternetLink"/>
          <w:rFonts w:eastAsia="SimSun" w:cs="SimSun" w:ascii="Times New Roman" w:hAnsi="Times New Roman"/>
          <w:b w:val="false"/>
          <w:bCs w:val="false"/>
          <w:color w:val="000000"/>
          <w:sz w:val="20"/>
          <w:szCs w:val="20"/>
          <w:u w:val="none"/>
          <w:lang w:val="en-US" w:eastAsia="zh-CN"/>
        </w:rPr>
        <w:t>R1-2106255</w:t>
      </w:r>
      <w:r>
        <w:rPr>
          <w:rFonts w:eastAsia="SimSun" w:cs="SimSun" w:ascii="Times New Roman" w:hAnsi="Times New Roman"/>
          <w:b w:val="false"/>
          <w:bCs w:val="false"/>
          <w:color w:val="000000"/>
          <w:sz w:val="20"/>
          <w:szCs w:val="20"/>
          <w:u w:val="none"/>
          <w:lang w:val="en-US" w:eastAsia="zh-CN"/>
        </w:rPr>
        <w:tab/>
        <w:t xml:space="preserve"> </w:t>
      </w:r>
      <w:r>
        <w:rPr>
          <w:rFonts w:eastAsia="SimSun" w:cs="SimSun" w:ascii="Times New Roman" w:hAnsi="Times New Roman"/>
          <w:b w:val="false"/>
          <w:bCs w:val="false"/>
          <w:sz w:val="20"/>
          <w:szCs w:val="20"/>
          <w:lang w:val="en-US" w:eastAsia="zh-CN"/>
        </w:rPr>
        <w:t>FL summary#3 for AI 8.5.3 Accuracy improvements for DL-AoD positioning solutions</w:t>
      </w:r>
    </w:p>
    <w:p>
      <w:pPr>
        <w:pStyle w:val="Normal"/>
        <w:jc w:val="both"/>
        <w:rPr>
          <w:b w:val="false"/>
          <w:b w:val="false"/>
          <w:bCs w:val="false"/>
          <w:lang w:val="en-US" w:eastAsia="x-none"/>
        </w:rPr>
      </w:pPr>
      <w:r>
        <w:rPr>
          <w:b w:val="false"/>
          <w:bCs w:val="false"/>
          <w:lang w:val="en-US" w:eastAsia="x-none"/>
        </w:rPr>
      </w:r>
    </w:p>
    <w:p>
      <w:pPr>
        <w:pStyle w:val="Normal"/>
        <w:jc w:val="both"/>
        <w:rPr/>
      </w:pPr>
      <w:r>
        <w:rPr/>
      </w:r>
    </w:p>
    <w:sectPr>
      <w:type w:val="nextPage"/>
      <w:pgSz w:w="12240" w:h="15840"/>
      <w:pgMar w:left="1440" w:right="1440" w:header="0" w:top="1440" w:footer="0" w:bottom="1440" w:gutter="0"/>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w:altName w:val="Times New Roman"/>
    <w:charset w:val="01"/>
    <w:family w:val="roman"/>
    <w:pitch w:val="variable"/>
  </w:font>
  <w:font w:name="Times New Roman">
    <w:charset w:val="01"/>
    <w:family w:val="roman"/>
    <w:pitch w:val="variable"/>
  </w:font>
  <w:font w:name="Arial">
    <w:charset w:val="01"/>
    <w:family w:val="roman"/>
    <w:pitch w:val="variable"/>
  </w:font>
  <w:font w:name="SimSun">
    <w:charset w:val="01"/>
    <w:family w:val="roman"/>
    <w:pitch w:val="variable"/>
  </w:font>
  <w:font w:name="Liberation Sans">
    <w:altName w:val="Arial"/>
    <w:charset w:val="01"/>
    <w:family w:val="roman"/>
    <w:pitch w:val="variable"/>
  </w:font>
  <w:font w:name="Calibri">
    <w:charset w:val="01"/>
    <w:family w:val="auto"/>
    <w:pitch w:val="default"/>
  </w:font>
  <w:font w:name="Symbol">
    <w:charset w:val="02"/>
    <w:family w:val="auto"/>
    <w:pitch w:val="default"/>
  </w:font>
  <w:font w:name="Courier New">
    <w:charset w:val="01"/>
    <w:family w:val="auto"/>
    <w:pitch w:val="default"/>
  </w:font>
  <w:font w:name="Wingdings">
    <w:charset w:val="02"/>
    <w:family w:val="auto"/>
    <w:pitch w:val="default"/>
  </w:font>
  <w:font w:name="Arial">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lvl>
    <w:lvl w:ilvl="1">
      <w:start w:val="1"/>
      <w:pStyle w:val="Heading2"/>
      <w:numFmt w:val="decimal"/>
      <w:lvlText w:val="%1.%2"/>
      <w:lvlJc w:val="left"/>
      <w:pPr>
        <w:tabs>
          <w:tab w:val="num" w:pos="576"/>
        </w:tabs>
        <w:ind w:left="576" w:hanging="576"/>
      </w:pPr>
      <w:rPr>
        <w:sz w:val="24"/>
        <w:i w:val="false"/>
        <w:b/>
        <w:effect w:val="none"/>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4"/>
        <w:i w:val="false"/>
        <w:b/>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4">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2"/>
      <w:numFmt w:val="bullet"/>
      <w:lvlText w:val="-"/>
      <w:lvlJc w:val="left"/>
      <w:pPr>
        <w:ind w:left="720" w:hanging="360"/>
      </w:pPr>
      <w:rPr>
        <w:rFonts w:ascii="Arial" w:hAnsi="Arial" w:cs="Arial" w:hint="default"/>
        <w:rFonts w:cs="Arial"/>
      </w:rPr>
    </w:lvl>
    <w:lvl w:ilvl="1">
      <w:start w:val="1"/>
      <w:numFmt w:val="bullet"/>
      <w:lvlText w:val="o"/>
      <w:lvlJc w:val="left"/>
      <w:pPr>
        <w:ind w:left="1440" w:hanging="360"/>
      </w:pPr>
      <w:rPr>
        <w:rFonts w:ascii="Courier New" w:hAnsi="Courier New" w:cs="Courier New" w:hint="default"/>
        <w:sz w:val="20"/>
        <w:rFonts w:cs="Courier New"/>
      </w:rPr>
    </w:lvl>
    <w:lvl w:ilvl="2">
      <w:start w:val="1"/>
      <w:numFmt w:val="bullet"/>
      <w:lvlText w:val=""/>
      <w:lvlJc w:val="left"/>
      <w:pPr>
        <w:ind w:left="2160" w:hanging="360"/>
      </w:pPr>
      <w:rPr>
        <w:rFonts w:ascii="Wingdings" w:hAnsi="Wingdings" w:cs="Wingdings" w:hint="default"/>
        <w:sz w:val="20"/>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ind w:left="720" w:hanging="360"/>
      </w:pPr>
      <w:rPr>
        <w:rFonts w:ascii="Symbol" w:hAnsi="Symbol" w:cs="Symbol" w:hint="default"/>
        <w:sz w:val="20"/>
        <w:rFonts w:cs="Symbol"/>
      </w:rPr>
    </w:lvl>
    <w:lvl w:ilvl="1">
      <w:start w:val="1"/>
      <w:numFmt w:val="bullet"/>
      <w:lvlText w:val="o"/>
      <w:lvlJc w:val="left"/>
      <w:pPr>
        <w:ind w:left="1440" w:hanging="360"/>
      </w:pPr>
      <w:rPr>
        <w:rFonts w:ascii="Courier New" w:hAnsi="Courier New" w:cs="Courier New" w:hint="default"/>
        <w:sz w:val="20"/>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bullet"/>
      <w:lvlText w:val=""/>
      <w:lvlJc w:val="left"/>
      <w:pPr>
        <w:ind w:left="360" w:hanging="360"/>
      </w:pPr>
      <w:rPr>
        <w:rFonts w:ascii="Symbol" w:hAnsi="Symbol" w:cs="Symbol" w:hint="default"/>
        <w:rFonts w:cs="Symbo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trackRevisions/>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707ce"/>
    <w:pPr>
      <w:widowControl/>
      <w:bidi w:val="0"/>
      <w:jc w:val="left"/>
    </w:pPr>
    <w:rPr>
      <w:rFonts w:ascii="Times" w:hAnsi="Times" w:eastAsia="Batang" w:cs="Times New Roman"/>
      <w:color w:val="00000A"/>
      <w:kern w:val="0"/>
      <w:sz w:val="20"/>
      <w:szCs w:val="24"/>
      <w:lang w:val="en-GB" w:eastAsia="en-US" w:bidi="ar-SA"/>
    </w:rPr>
  </w:style>
  <w:style w:type="paragraph" w:styleId="Heading1">
    <w:name w:val="Heading 1"/>
    <w:basedOn w:val="Normal"/>
    <w:next w:val="Normal"/>
    <w:link w:val="Heading1Char"/>
    <w:qFormat/>
    <w:rsid w:val="007707ce"/>
    <w:pPr>
      <w:keepNext w:val="true"/>
      <w:numPr>
        <w:ilvl w:val="0"/>
        <w:numId w:val="1"/>
      </w:numPr>
      <w:snapToGrid w:val="false"/>
      <w:spacing w:before="120" w:after="120"/>
      <w:jc w:val="both"/>
      <w:outlineLvl w:val="0"/>
    </w:pPr>
    <w:rPr>
      <w:rFonts w:ascii="Times New Roman" w:hAnsi="Times New Roman" w:eastAsia="SimSun"/>
      <w:b/>
      <w:bCs/>
      <w:sz w:val="28"/>
      <w:szCs w:val="28"/>
      <w:lang w:val="en-US"/>
    </w:rPr>
  </w:style>
  <w:style w:type="paragraph" w:styleId="Heading2">
    <w:name w:val="Heading 2"/>
    <w:basedOn w:val="Normal"/>
    <w:next w:val="Normal"/>
    <w:link w:val="Heading2Char"/>
    <w:qFormat/>
    <w:rsid w:val="007707ce"/>
    <w:pPr>
      <w:keepNext w:val="true"/>
      <w:numPr>
        <w:ilvl w:val="1"/>
        <w:numId w:val="1"/>
      </w:numPr>
      <w:snapToGrid w:val="false"/>
      <w:spacing w:before="120" w:after="120"/>
      <w:jc w:val="both"/>
      <w:outlineLvl w:val="1"/>
    </w:pPr>
    <w:rPr>
      <w:rFonts w:ascii="Times New Roman" w:hAnsi="Times New Roman" w:eastAsia="SimSun"/>
      <w:b/>
      <w:bCs/>
      <w:sz w:val="24"/>
      <w:szCs w:val="22"/>
      <w:lang w:val="en-US"/>
    </w:rPr>
  </w:style>
  <w:style w:type="paragraph" w:styleId="Heading3">
    <w:name w:val="Heading 3"/>
    <w:basedOn w:val="Normal"/>
    <w:next w:val="Normal"/>
    <w:link w:val="Heading3Char"/>
    <w:qFormat/>
    <w:rsid w:val="007707ce"/>
    <w:pPr>
      <w:keepNext w:val="true"/>
      <w:numPr>
        <w:ilvl w:val="2"/>
        <w:numId w:val="1"/>
      </w:numPr>
      <w:snapToGrid w:val="false"/>
      <w:spacing w:before="120" w:after="120"/>
      <w:jc w:val="both"/>
      <w:outlineLvl w:val="2"/>
    </w:pPr>
    <w:rPr>
      <w:rFonts w:ascii="Times New Roman" w:hAnsi="Times New Roman" w:eastAsia="SimSun"/>
      <w:b/>
      <w:sz w:val="22"/>
      <w:szCs w:val="22"/>
      <w:lang w:val="en-US"/>
    </w:rPr>
  </w:style>
  <w:style w:type="paragraph" w:styleId="Heading4">
    <w:name w:val="Heading 4"/>
    <w:basedOn w:val="Normal"/>
    <w:next w:val="Normal"/>
    <w:link w:val="Heading4Char"/>
    <w:qFormat/>
    <w:rsid w:val="007707ce"/>
    <w:pPr>
      <w:keepNext w:val="true"/>
      <w:numPr>
        <w:ilvl w:val="3"/>
        <w:numId w:val="1"/>
      </w:numPr>
      <w:snapToGrid w:val="false"/>
      <w:spacing w:before="120" w:after="120"/>
      <w:ind w:left="720" w:hanging="720"/>
      <w:jc w:val="both"/>
      <w:outlineLvl w:val="3"/>
    </w:pPr>
    <w:rPr>
      <w:rFonts w:ascii="Times New Roman" w:hAnsi="Times New Roman" w:eastAsia="SimSun"/>
      <w:b/>
      <w:bCs/>
      <w:sz w:val="22"/>
      <w:szCs w:val="28"/>
      <w:lang w:val="en-US"/>
    </w:rPr>
  </w:style>
  <w:style w:type="paragraph" w:styleId="Heading5">
    <w:name w:val="Heading 5"/>
    <w:basedOn w:val="Normal"/>
    <w:next w:val="Normal"/>
    <w:link w:val="Heading5Char"/>
    <w:qFormat/>
    <w:rsid w:val="007707ce"/>
    <w:pPr>
      <w:keepNext w:val="true"/>
      <w:numPr>
        <w:ilvl w:val="4"/>
        <w:numId w:val="1"/>
      </w:numPr>
      <w:snapToGrid w:val="false"/>
      <w:spacing w:before="120" w:after="120"/>
      <w:ind w:left="720" w:hanging="720"/>
      <w:jc w:val="both"/>
      <w:outlineLvl w:val="4"/>
    </w:pPr>
    <w:rPr>
      <w:rFonts w:ascii="Times New Roman" w:hAnsi="Times New Roman" w:eastAsia="SimSun"/>
      <w:b/>
      <w:bCs/>
      <w:i/>
      <w:iCs/>
      <w:sz w:val="22"/>
      <w:szCs w:val="26"/>
      <w:lang w:val="en-US"/>
    </w:rPr>
  </w:style>
  <w:style w:type="paragraph" w:styleId="Heading6">
    <w:name w:val="Heading 6"/>
    <w:basedOn w:val="Normal"/>
    <w:next w:val="Normal"/>
    <w:link w:val="Heading6Char"/>
    <w:qFormat/>
    <w:rsid w:val="007707ce"/>
    <w:pPr>
      <w:numPr>
        <w:ilvl w:val="5"/>
        <w:numId w:val="1"/>
      </w:numPr>
      <w:snapToGrid w:val="false"/>
      <w:spacing w:before="240" w:after="60"/>
      <w:jc w:val="both"/>
      <w:outlineLvl w:val="5"/>
    </w:pPr>
    <w:rPr>
      <w:rFonts w:ascii="Times New Roman" w:hAnsi="Times New Roman" w:eastAsia="SimSun"/>
      <w:b/>
      <w:bCs/>
      <w:sz w:val="22"/>
      <w:szCs w:val="22"/>
      <w:lang w:val="en-US"/>
    </w:rPr>
  </w:style>
  <w:style w:type="paragraph" w:styleId="Heading7">
    <w:name w:val="Heading 7"/>
    <w:basedOn w:val="Normal"/>
    <w:next w:val="Normal"/>
    <w:link w:val="Heading7Char"/>
    <w:qFormat/>
    <w:rsid w:val="007707ce"/>
    <w:pPr>
      <w:numPr>
        <w:ilvl w:val="6"/>
        <w:numId w:val="1"/>
      </w:numPr>
      <w:snapToGrid w:val="false"/>
      <w:spacing w:before="240" w:after="60"/>
      <w:jc w:val="both"/>
      <w:outlineLvl w:val="6"/>
    </w:pPr>
    <w:rPr>
      <w:rFonts w:ascii="Times New Roman" w:hAnsi="Times New Roman" w:eastAsia="SimSun"/>
      <w:sz w:val="24"/>
      <w:lang w:val="en-US"/>
    </w:rPr>
  </w:style>
  <w:style w:type="paragraph" w:styleId="Heading8">
    <w:name w:val="Heading 8"/>
    <w:basedOn w:val="Normal"/>
    <w:next w:val="Normal"/>
    <w:link w:val="Heading8Char"/>
    <w:qFormat/>
    <w:rsid w:val="007707ce"/>
    <w:pPr>
      <w:numPr>
        <w:ilvl w:val="7"/>
        <w:numId w:val="1"/>
      </w:numPr>
      <w:snapToGrid w:val="false"/>
      <w:spacing w:before="240" w:after="60"/>
      <w:jc w:val="both"/>
      <w:outlineLvl w:val="7"/>
    </w:pPr>
    <w:rPr>
      <w:rFonts w:ascii="Times New Roman" w:hAnsi="Times New Roman" w:eastAsia="SimSun"/>
      <w:i/>
      <w:iCs/>
      <w:sz w:val="24"/>
      <w:lang w:val="en-US"/>
    </w:rPr>
  </w:style>
  <w:style w:type="paragraph" w:styleId="Heading9">
    <w:name w:val="Heading 9"/>
    <w:basedOn w:val="Normal"/>
    <w:next w:val="Normal"/>
    <w:link w:val="Heading9Char"/>
    <w:qFormat/>
    <w:rsid w:val="007707ce"/>
    <w:pPr>
      <w:numPr>
        <w:ilvl w:val="8"/>
        <w:numId w:val="1"/>
      </w:numPr>
      <w:snapToGrid w:val="false"/>
      <w:spacing w:before="240" w:after="60"/>
      <w:jc w:val="both"/>
      <w:outlineLvl w:val="8"/>
    </w:pPr>
    <w:rPr>
      <w:rFonts w:ascii="Arial" w:hAnsi="Arial" w:eastAsia="SimSun" w:cs="Arial"/>
      <w:sz w:val="22"/>
      <w:szCs w:val="22"/>
      <w:lang w:val="en-U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7707ce"/>
    <w:rPr>
      <w:rFonts w:ascii="Times New Roman" w:hAnsi="Times New Roman" w:eastAsia="SimSun" w:cs="Times New Roman"/>
      <w:b/>
      <w:bCs/>
      <w:sz w:val="28"/>
      <w:szCs w:val="28"/>
    </w:rPr>
  </w:style>
  <w:style w:type="character" w:styleId="Heading2Char" w:customStyle="1">
    <w:name w:val="Heading 2 Char"/>
    <w:basedOn w:val="DefaultParagraphFont"/>
    <w:link w:val="Heading2"/>
    <w:qFormat/>
    <w:rsid w:val="007707ce"/>
    <w:rPr>
      <w:rFonts w:ascii="Times New Roman" w:hAnsi="Times New Roman" w:eastAsia="SimSun" w:cs="Times New Roman"/>
      <w:b/>
      <w:bCs/>
      <w:sz w:val="24"/>
    </w:rPr>
  </w:style>
  <w:style w:type="character" w:styleId="Heading3Char" w:customStyle="1">
    <w:name w:val="Heading 3 Char"/>
    <w:basedOn w:val="DefaultParagraphFont"/>
    <w:link w:val="Heading3"/>
    <w:qFormat/>
    <w:rsid w:val="007707ce"/>
    <w:rPr>
      <w:rFonts w:ascii="Times New Roman" w:hAnsi="Times New Roman" w:eastAsia="SimSun" w:cs="Times New Roman"/>
      <w:b/>
    </w:rPr>
  </w:style>
  <w:style w:type="character" w:styleId="Heading4Char" w:customStyle="1">
    <w:name w:val="Heading 4 Char"/>
    <w:basedOn w:val="DefaultParagraphFont"/>
    <w:link w:val="Heading4"/>
    <w:qFormat/>
    <w:rsid w:val="007707ce"/>
    <w:rPr>
      <w:rFonts w:ascii="Times New Roman" w:hAnsi="Times New Roman" w:eastAsia="SimSun" w:cs="Times New Roman"/>
      <w:b/>
      <w:bCs/>
      <w:szCs w:val="28"/>
    </w:rPr>
  </w:style>
  <w:style w:type="character" w:styleId="Heading5Char" w:customStyle="1">
    <w:name w:val="Heading 5 Char"/>
    <w:basedOn w:val="DefaultParagraphFont"/>
    <w:link w:val="Heading5"/>
    <w:qFormat/>
    <w:rsid w:val="007707ce"/>
    <w:rPr>
      <w:rFonts w:ascii="Times New Roman" w:hAnsi="Times New Roman" w:eastAsia="SimSun" w:cs="Times New Roman"/>
      <w:b/>
      <w:bCs/>
      <w:i/>
      <w:iCs/>
      <w:szCs w:val="26"/>
    </w:rPr>
  </w:style>
  <w:style w:type="character" w:styleId="Heading6Char" w:customStyle="1">
    <w:name w:val="Heading 6 Char"/>
    <w:basedOn w:val="DefaultParagraphFont"/>
    <w:link w:val="Heading6"/>
    <w:qFormat/>
    <w:rsid w:val="007707ce"/>
    <w:rPr>
      <w:rFonts w:ascii="Times New Roman" w:hAnsi="Times New Roman" w:eastAsia="SimSun" w:cs="Times New Roman"/>
      <w:b/>
      <w:bCs/>
    </w:rPr>
  </w:style>
  <w:style w:type="character" w:styleId="Heading7Char" w:customStyle="1">
    <w:name w:val="Heading 7 Char"/>
    <w:basedOn w:val="DefaultParagraphFont"/>
    <w:link w:val="Heading7"/>
    <w:qFormat/>
    <w:rsid w:val="007707ce"/>
    <w:rPr>
      <w:rFonts w:ascii="Times New Roman" w:hAnsi="Times New Roman" w:eastAsia="SimSun" w:cs="Times New Roman"/>
      <w:sz w:val="24"/>
      <w:szCs w:val="24"/>
    </w:rPr>
  </w:style>
  <w:style w:type="character" w:styleId="Heading8Char" w:customStyle="1">
    <w:name w:val="Heading 8 Char"/>
    <w:basedOn w:val="DefaultParagraphFont"/>
    <w:link w:val="Heading8"/>
    <w:qFormat/>
    <w:rsid w:val="007707ce"/>
    <w:rPr>
      <w:rFonts w:ascii="Times New Roman" w:hAnsi="Times New Roman" w:eastAsia="SimSun" w:cs="Times New Roman"/>
      <w:i/>
      <w:iCs/>
      <w:sz w:val="24"/>
      <w:szCs w:val="24"/>
    </w:rPr>
  </w:style>
  <w:style w:type="character" w:styleId="Heading9Char" w:customStyle="1">
    <w:name w:val="Heading 9 Char"/>
    <w:basedOn w:val="DefaultParagraphFont"/>
    <w:link w:val="Heading9"/>
    <w:qFormat/>
    <w:rsid w:val="007707ce"/>
    <w:rPr>
      <w:rFonts w:ascii="Arial" w:hAnsi="Arial" w:eastAsia="SimSun" w:cs="Arial"/>
    </w:rPr>
  </w:style>
  <w:style w:type="character" w:styleId="BodyTextIndent2Char" w:customStyle="1">
    <w:name w:val="Body Text Indent 2 Char"/>
    <w:basedOn w:val="DefaultParagraphFont"/>
    <w:link w:val="BodyTextIndent2"/>
    <w:qFormat/>
    <w:rsid w:val="00b27d31"/>
    <w:rPr>
      <w:rFonts w:eastAsia="" w:eastAsiaTheme="minorEastAsia"/>
      <w:kern w:val="2"/>
      <w:lang w:eastAsia="ja-JP"/>
    </w:rPr>
  </w:style>
  <w:style w:type="character" w:styleId="PlaceholderText">
    <w:name w:val="Placeholder Text"/>
    <w:basedOn w:val="DefaultParagraphFont"/>
    <w:uiPriority w:val="99"/>
    <w:semiHidden/>
    <w:qFormat/>
    <w:rsid w:val="00be7f01"/>
    <w:rPr>
      <w:color w:val="808080"/>
    </w:rPr>
  </w:style>
  <w:style w:type="character" w:styleId="ListParagraphChar" w:customStyle="1">
    <w:name w:val="List Paragraph Char"/>
    <w:link w:val="ListParagraph"/>
    <w:uiPriority w:val="34"/>
    <w:qFormat/>
    <w:rsid w:val="00d0408c"/>
    <w:rPr>
      <w:rFonts w:ascii="SimSun" w:hAnsi="SimSun" w:eastAsia="SimSun" w:cs="SimSun"/>
      <w:sz w:val="24"/>
      <w:szCs w:val="24"/>
      <w:lang w:eastAsia="zh-CN"/>
    </w:rPr>
  </w:style>
  <w:style w:type="character" w:styleId="Annotationreference">
    <w:name w:val="annotation reference"/>
    <w:basedOn w:val="DefaultParagraphFont"/>
    <w:uiPriority w:val="99"/>
    <w:semiHidden/>
    <w:unhideWhenUsed/>
    <w:qFormat/>
    <w:rsid w:val="009b4c55"/>
    <w:rPr>
      <w:sz w:val="16"/>
      <w:szCs w:val="16"/>
    </w:rPr>
  </w:style>
  <w:style w:type="character" w:styleId="CommentTextChar" w:customStyle="1">
    <w:name w:val="Comment Text Char"/>
    <w:basedOn w:val="DefaultParagraphFont"/>
    <w:link w:val="CommentText"/>
    <w:uiPriority w:val="99"/>
    <w:semiHidden/>
    <w:qFormat/>
    <w:rsid w:val="009b4c55"/>
    <w:rPr>
      <w:rFonts w:ascii="Times" w:hAnsi="Times" w:eastAsia="Batang" w:cs="Times New Roman"/>
      <w:sz w:val="20"/>
      <w:szCs w:val="20"/>
      <w:lang w:val="en-GB"/>
    </w:rPr>
  </w:style>
  <w:style w:type="character" w:styleId="CommentSubjectChar" w:customStyle="1">
    <w:name w:val="Comment Subject Char"/>
    <w:basedOn w:val="CommentTextChar"/>
    <w:link w:val="CommentSubject"/>
    <w:uiPriority w:val="99"/>
    <w:semiHidden/>
    <w:qFormat/>
    <w:rsid w:val="009b4c55"/>
    <w:rPr>
      <w:rFonts w:ascii="Times" w:hAnsi="Times" w:eastAsia="Batang" w:cs="Times New Roman"/>
      <w:b/>
      <w:bCs/>
      <w:sz w:val="20"/>
      <w:szCs w:val="20"/>
      <w:lang w:val="en-GB"/>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i w:val="false"/>
      <w:lang w:val="en-US"/>
    </w:rPr>
  </w:style>
  <w:style w:type="character" w:styleId="ListLabel11" w:customStyle="1">
    <w:name w:val="ListLabel 11"/>
    <w:qFormat/>
    <w:rPr>
      <w:b/>
      <w:i w:val="false"/>
      <w:sz w:val="24"/>
      <w:effect w:val="none"/>
    </w:rPr>
  </w:style>
  <w:style w:type="character" w:styleId="ListLabel12" w:customStyle="1">
    <w:name w:val="ListLabel 12"/>
    <w:qFormat/>
    <w:rPr>
      <w:i w:val="false"/>
      <w:lang w:val="en-US"/>
    </w:rPr>
  </w:style>
  <w:style w:type="character" w:styleId="ListLabel13" w:customStyle="1">
    <w:name w:val="ListLabel 13"/>
    <w:qFormat/>
    <w:rPr>
      <w:b/>
      <w:i w:val="false"/>
      <w:sz w:val="24"/>
      <w:effect w:val="none"/>
    </w:rPr>
  </w:style>
  <w:style w:type="character" w:styleId="ListLabel14" w:customStyle="1">
    <w:name w:val="ListLabel 14"/>
    <w:qFormat/>
    <w:rPr>
      <w:i w:val="false"/>
      <w:lang w:val="en-US"/>
    </w:rPr>
  </w:style>
  <w:style w:type="character" w:styleId="ListLabel15" w:customStyle="1">
    <w:name w:val="ListLabel 15"/>
    <w:qFormat/>
    <w:rPr>
      <w:b/>
      <w:i w:val="false"/>
      <w:sz w:val="24"/>
      <w:effect w:val="none"/>
    </w:rPr>
  </w:style>
  <w:style w:type="character" w:styleId="ListLabel16" w:customStyle="1">
    <w:name w:val="ListLabel 16"/>
    <w:qFormat/>
    <w:rPr>
      <w:i w:val="false"/>
      <w:lang w:val="en-US"/>
    </w:rPr>
  </w:style>
  <w:style w:type="character" w:styleId="ListLabel17" w:customStyle="1">
    <w:name w:val="ListLabel 17"/>
    <w:qFormat/>
    <w:rPr>
      <w:b/>
      <w:i w:val="false"/>
      <w:sz w:val="24"/>
      <w:effect w:val="none"/>
    </w:rPr>
  </w:style>
  <w:style w:type="character" w:styleId="ListLabel18" w:customStyle="1">
    <w:name w:val="ListLabel 18"/>
    <w:qFormat/>
    <w:rPr>
      <w:i w:val="false"/>
      <w:lang w:val="en-US"/>
    </w:rPr>
  </w:style>
  <w:style w:type="character" w:styleId="ListLabel19" w:customStyle="1">
    <w:name w:val="ListLabel 19"/>
    <w:qFormat/>
    <w:rPr>
      <w:b/>
      <w:i w:val="false"/>
      <w:sz w:val="24"/>
      <w:effect w:val="none"/>
    </w:rPr>
  </w:style>
  <w:style w:type="character" w:styleId="ListLabel20" w:customStyle="1">
    <w:name w:val="ListLabel 20"/>
    <w:qFormat/>
    <w:rPr>
      <w:i w:val="false"/>
      <w:lang w:val="en-US"/>
    </w:rPr>
  </w:style>
  <w:style w:type="character" w:styleId="ListLabel21" w:customStyle="1">
    <w:name w:val="ListLabel 21"/>
    <w:qFormat/>
    <w:rPr>
      <w:b/>
      <w:i w:val="false"/>
      <w:sz w:val="24"/>
      <w:effect w:val="none"/>
    </w:rPr>
  </w:style>
  <w:style w:type="character" w:styleId="ListLabel22" w:customStyle="1">
    <w:name w:val="ListLabel 22"/>
    <w:qFormat/>
    <w:rPr>
      <w:rFonts w:cs="Courier New"/>
    </w:rPr>
  </w:style>
  <w:style w:type="character" w:styleId="ListLabel23" w:customStyle="1">
    <w:name w:val="ListLabel 23"/>
    <w:qFormat/>
    <w:rPr>
      <w:rFonts w:cs="Courier New"/>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ascii="Times New Roman" w:hAnsi="Times New Roman"/>
      <w:sz w:val="20"/>
      <w:szCs w:val="20"/>
    </w:rPr>
  </w:style>
  <w:style w:type="character" w:styleId="InternetLink" w:customStyle="1">
    <w:name w:val="Internet Link"/>
    <w:rPr>
      <w:color w:val="000080"/>
      <w:u w:val="single"/>
    </w:rPr>
  </w:style>
  <w:style w:type="character" w:styleId="ListLabel32" w:customStyle="1">
    <w:name w:val="ListLabel 32"/>
    <w:qFormat/>
    <w:rPr>
      <w:i w:val="false"/>
      <w:lang w:val="en-US"/>
    </w:rPr>
  </w:style>
  <w:style w:type="character" w:styleId="ListLabel33" w:customStyle="1">
    <w:name w:val="ListLabel 33"/>
    <w:qFormat/>
    <w:rPr>
      <w:b/>
      <w:i w:val="false"/>
      <w:sz w:val="24"/>
      <w:effect w:val="none"/>
    </w:rPr>
  </w:style>
  <w:style w:type="character" w:styleId="ListLabel34" w:customStyle="1">
    <w:name w:val="ListLabel 34"/>
    <w:qFormat/>
    <w:rPr>
      <w:i w:val="false"/>
      <w:lang w:val="en-US"/>
    </w:rPr>
  </w:style>
  <w:style w:type="character" w:styleId="ListLabel35" w:customStyle="1">
    <w:name w:val="ListLabel 35"/>
    <w:qFormat/>
    <w:rPr>
      <w:b/>
      <w:i w:val="false"/>
      <w:sz w:val="24"/>
      <w:effect w:val="none"/>
    </w:rPr>
  </w:style>
  <w:style w:type="character" w:styleId="ListLabel36" w:customStyle="1">
    <w:name w:val="ListLabel 36"/>
    <w:qFormat/>
    <w:rPr>
      <w:rFonts w:cs="Courier New"/>
    </w:rPr>
  </w:style>
  <w:style w:type="character" w:styleId="ListLabel37" w:customStyle="1">
    <w:name w:val="ListLabel 37"/>
    <w:qFormat/>
    <w:rPr>
      <w:rFonts w:cs="Courier New"/>
    </w:rPr>
  </w:style>
  <w:style w:type="character" w:styleId="ListLabel38" w:customStyle="1">
    <w:name w:val="ListLabel 38"/>
    <w:qFormat/>
    <w:rPr>
      <w:rFonts w:cs="Courier New"/>
    </w:rPr>
  </w:style>
  <w:style w:type="character" w:styleId="ListLabel39" w:customStyle="1">
    <w:name w:val="ListLabel 39"/>
    <w:qFormat/>
    <w:rPr>
      <w:rFonts w:eastAsia="Times New Roman" w:cs="Arial"/>
    </w:rPr>
  </w:style>
  <w:style w:type="character" w:styleId="ListLabel40" w:customStyle="1">
    <w:name w:val="ListLabel 40"/>
    <w:qFormat/>
    <w:rPr>
      <w:rFonts w:ascii="Times New Roman" w:hAnsi="Times New Roman" w:cs="Courier New"/>
      <w:sz w:val="20"/>
    </w:rPr>
  </w:style>
  <w:style w:type="character" w:styleId="ListLabel41" w:customStyle="1">
    <w:name w:val="ListLabel 41"/>
    <w:qFormat/>
    <w:rPr>
      <w:rFonts w:cs="Courier New"/>
    </w:rPr>
  </w:style>
  <w:style w:type="character" w:styleId="ListLabel42" w:customStyle="1">
    <w:name w:val="ListLabel 42"/>
    <w:qFormat/>
    <w:rPr>
      <w:rFonts w:cs="Courier New"/>
    </w:rPr>
  </w:style>
  <w:style w:type="character" w:styleId="ListLabel43" w:customStyle="1">
    <w:name w:val="ListLabel 43"/>
    <w:qFormat/>
    <w:rPr>
      <w:rFonts w:ascii="Times New Roman" w:hAnsi="Times New Roman" w:cs="Courier New"/>
      <w:sz w:val="20"/>
    </w:rPr>
  </w:style>
  <w:style w:type="character" w:styleId="ListLabel44" w:customStyle="1">
    <w:name w:val="ListLabel 44"/>
    <w:qFormat/>
    <w:rPr>
      <w:rFonts w:cs="Courier New"/>
    </w:rPr>
  </w:style>
  <w:style w:type="character" w:styleId="ListLabel45" w:customStyle="1">
    <w:name w:val="ListLabel 45"/>
    <w:qFormat/>
    <w:rPr>
      <w:rFonts w:cs="Courier New"/>
    </w:rPr>
  </w:style>
  <w:style w:type="character" w:styleId="ListLabel46" w:customStyle="1">
    <w:name w:val="ListLabel 46"/>
    <w:qFormat/>
    <w:rPr>
      <w:rFonts w:cs="Courier New"/>
    </w:rPr>
  </w:style>
  <w:style w:type="character" w:styleId="ListLabel47" w:customStyle="1">
    <w:name w:val="ListLabel 47"/>
    <w:qFormat/>
    <w:rPr>
      <w:rFonts w:cs="Courier New"/>
    </w:rPr>
  </w:style>
  <w:style w:type="character" w:styleId="ListLabel48" w:customStyle="1">
    <w:name w:val="ListLabel 48"/>
    <w:qFormat/>
    <w:rPr>
      <w:rFonts w:cs="Courier New"/>
    </w:rPr>
  </w:style>
  <w:style w:type="character" w:styleId="ListLabel49" w:customStyle="1">
    <w:name w:val="ListLabel 49"/>
    <w:qFormat/>
    <w:rPr>
      <w:i w:val="false"/>
      <w:lang w:val="en-US"/>
    </w:rPr>
  </w:style>
  <w:style w:type="character" w:styleId="ListLabel50" w:customStyle="1">
    <w:name w:val="ListLabel 50"/>
    <w:qFormat/>
    <w:rPr>
      <w:b/>
      <w:i w:val="false"/>
      <w:sz w:val="24"/>
      <w:effect w:val="none"/>
    </w:rPr>
  </w:style>
  <w:style w:type="character" w:styleId="ListLabel51" w:customStyle="1">
    <w:name w:val="ListLabel 51"/>
    <w:qFormat/>
    <w:rPr/>
  </w:style>
  <w:style w:type="character" w:styleId="ListLabel936" w:customStyle="1">
    <w:name w:val="ListLabel 936"/>
    <w:qFormat/>
    <w:rPr>
      <w:b/>
      <w:bCs/>
      <w:lang w:eastAsia="x-none"/>
    </w:rPr>
  </w:style>
  <w:style w:type="character" w:styleId="ListLabel937">
    <w:name w:val="ListLabel 937"/>
    <w:qFormat/>
    <w:rPr>
      <w:i w:val="false"/>
      <w:lang w:val="en-US"/>
    </w:rPr>
  </w:style>
  <w:style w:type="character" w:styleId="ListLabel938">
    <w:name w:val="ListLabel 938"/>
    <w:qFormat/>
    <w:rPr>
      <w:b/>
      <w:i w:val="false"/>
      <w:sz w:val="24"/>
      <w:effect w:val="none"/>
    </w:rPr>
  </w:style>
  <w:style w:type="character" w:styleId="ListLabel939">
    <w:name w:val="ListLabel 939"/>
    <w:qFormat/>
    <w:rPr>
      <w:i w:val="false"/>
      <w:lang w:val="en-US"/>
    </w:rPr>
  </w:style>
  <w:style w:type="character" w:styleId="ListLabel940">
    <w:name w:val="ListLabel 940"/>
    <w:qFormat/>
    <w:rPr>
      <w:b/>
      <w:i w:val="false"/>
      <w:sz w:val="24"/>
      <w:effect w:val="none"/>
    </w:rPr>
  </w:style>
  <w:style w:type="character" w:styleId="ListLabel941">
    <w:name w:val="ListLabel 941"/>
    <w:qFormat/>
    <w:rPr>
      <w:rFonts w:ascii="Times New Roman" w:hAnsi="Times New Roman" w:cs="Symbol"/>
    </w:rPr>
  </w:style>
  <w:style w:type="character" w:styleId="ListLabel942">
    <w:name w:val="ListLabel 942"/>
    <w:qFormat/>
    <w:rPr>
      <w:rFonts w:cs="Courier New"/>
    </w:rPr>
  </w:style>
  <w:style w:type="character" w:styleId="ListLabel943">
    <w:name w:val="ListLabel 943"/>
    <w:qFormat/>
    <w:rPr>
      <w:rFonts w:cs="Wingdings"/>
    </w:rPr>
  </w:style>
  <w:style w:type="character" w:styleId="ListLabel944">
    <w:name w:val="ListLabel 944"/>
    <w:qFormat/>
    <w:rPr>
      <w:rFonts w:cs="Symbol"/>
    </w:rPr>
  </w:style>
  <w:style w:type="character" w:styleId="ListLabel945">
    <w:name w:val="ListLabel 945"/>
    <w:qFormat/>
    <w:rPr>
      <w:rFonts w:cs="Courier New"/>
    </w:rPr>
  </w:style>
  <w:style w:type="character" w:styleId="ListLabel946">
    <w:name w:val="ListLabel 946"/>
    <w:qFormat/>
    <w:rPr>
      <w:rFonts w:cs="Wingdings"/>
    </w:rPr>
  </w:style>
  <w:style w:type="character" w:styleId="ListLabel947">
    <w:name w:val="ListLabel 947"/>
    <w:qFormat/>
    <w:rPr>
      <w:rFonts w:cs="Symbol"/>
    </w:rPr>
  </w:style>
  <w:style w:type="character" w:styleId="ListLabel948">
    <w:name w:val="ListLabel 948"/>
    <w:qFormat/>
    <w:rPr>
      <w:rFonts w:cs="Courier New"/>
    </w:rPr>
  </w:style>
  <w:style w:type="character" w:styleId="ListLabel949">
    <w:name w:val="ListLabel 949"/>
    <w:qFormat/>
    <w:rPr>
      <w:rFonts w:cs="Wingdings"/>
    </w:rPr>
  </w:style>
  <w:style w:type="character" w:styleId="ListLabel950">
    <w:name w:val="ListLabel 950"/>
    <w:qFormat/>
    <w:rPr>
      <w:rFonts w:cs="Arial"/>
    </w:rPr>
  </w:style>
  <w:style w:type="character" w:styleId="ListLabel951">
    <w:name w:val="ListLabel 951"/>
    <w:qFormat/>
    <w:rPr>
      <w:rFonts w:ascii="Times New Roman" w:hAnsi="Times New Roman" w:cs="Courier New"/>
      <w:sz w:val="20"/>
    </w:rPr>
  </w:style>
  <w:style w:type="character" w:styleId="ListLabel952">
    <w:name w:val="ListLabel 952"/>
    <w:qFormat/>
    <w:rPr>
      <w:rFonts w:ascii="Times New Roman" w:hAnsi="Times New Roman" w:cs="Wingdings"/>
      <w:sz w:val="20"/>
    </w:rPr>
  </w:style>
  <w:style w:type="character" w:styleId="ListLabel953">
    <w:name w:val="ListLabel 953"/>
    <w:qFormat/>
    <w:rPr>
      <w:rFonts w:cs="Symbol"/>
    </w:rPr>
  </w:style>
  <w:style w:type="character" w:styleId="ListLabel954">
    <w:name w:val="ListLabel 954"/>
    <w:qFormat/>
    <w:rPr>
      <w:rFonts w:cs="Courier New"/>
    </w:rPr>
  </w:style>
  <w:style w:type="character" w:styleId="ListLabel955">
    <w:name w:val="ListLabel 955"/>
    <w:qFormat/>
    <w:rPr>
      <w:rFonts w:cs="Wingdings"/>
    </w:rPr>
  </w:style>
  <w:style w:type="character" w:styleId="ListLabel956">
    <w:name w:val="ListLabel 956"/>
    <w:qFormat/>
    <w:rPr>
      <w:rFonts w:cs="Symbol"/>
    </w:rPr>
  </w:style>
  <w:style w:type="character" w:styleId="ListLabel957">
    <w:name w:val="ListLabel 957"/>
    <w:qFormat/>
    <w:rPr>
      <w:rFonts w:cs="Courier New"/>
    </w:rPr>
  </w:style>
  <w:style w:type="character" w:styleId="ListLabel958">
    <w:name w:val="ListLabel 958"/>
    <w:qFormat/>
    <w:rPr>
      <w:rFonts w:cs="Wingdings"/>
    </w:rPr>
  </w:style>
  <w:style w:type="character" w:styleId="ListLabel959">
    <w:name w:val="ListLabel 959"/>
    <w:qFormat/>
    <w:rPr>
      <w:rFonts w:ascii="Times New Roman" w:hAnsi="Times New Roman" w:cs="Symbol"/>
      <w:sz w:val="20"/>
    </w:rPr>
  </w:style>
  <w:style w:type="character" w:styleId="ListLabel960">
    <w:name w:val="ListLabel 960"/>
    <w:qFormat/>
    <w:rPr>
      <w:rFonts w:ascii="Times New Roman" w:hAnsi="Times New Roman" w:cs="Courier New"/>
      <w:sz w:val="20"/>
    </w:rPr>
  </w:style>
  <w:style w:type="character" w:styleId="ListLabel961">
    <w:name w:val="ListLabel 961"/>
    <w:qFormat/>
    <w:rPr>
      <w:rFonts w:cs="Wingdings"/>
    </w:rPr>
  </w:style>
  <w:style w:type="character" w:styleId="ListLabel962">
    <w:name w:val="ListLabel 962"/>
    <w:qFormat/>
    <w:rPr>
      <w:rFonts w:cs="Symbol"/>
    </w:rPr>
  </w:style>
  <w:style w:type="character" w:styleId="ListLabel963">
    <w:name w:val="ListLabel 963"/>
    <w:qFormat/>
    <w:rPr>
      <w:rFonts w:cs="Courier New"/>
    </w:rPr>
  </w:style>
  <w:style w:type="character" w:styleId="ListLabel964">
    <w:name w:val="ListLabel 964"/>
    <w:qFormat/>
    <w:rPr>
      <w:rFonts w:cs="Wingdings"/>
    </w:rPr>
  </w:style>
  <w:style w:type="character" w:styleId="ListLabel965">
    <w:name w:val="ListLabel 965"/>
    <w:qFormat/>
    <w:rPr>
      <w:rFonts w:cs="Symbol"/>
    </w:rPr>
  </w:style>
  <w:style w:type="character" w:styleId="ListLabel966">
    <w:name w:val="ListLabel 966"/>
    <w:qFormat/>
    <w:rPr>
      <w:rFonts w:cs="Courier New"/>
    </w:rPr>
  </w:style>
  <w:style w:type="character" w:styleId="ListLabel967">
    <w:name w:val="ListLabel 967"/>
    <w:qFormat/>
    <w:rPr>
      <w:rFonts w:cs="Wingdings"/>
    </w:rPr>
  </w:style>
  <w:style w:type="character" w:styleId="ListLabel968">
    <w:name w:val="ListLabel 968"/>
    <w:qFormat/>
    <w:rPr>
      <w:rFonts w:cs="Symbol"/>
    </w:rPr>
  </w:style>
  <w:style w:type="character" w:styleId="ListLabel969">
    <w:name w:val="ListLabel 969"/>
    <w:qFormat/>
    <w:rPr>
      <w:rFonts w:cs="Courier New"/>
    </w:rPr>
  </w:style>
  <w:style w:type="character" w:styleId="ListLabel970">
    <w:name w:val="ListLabel 970"/>
    <w:qFormat/>
    <w:rPr>
      <w:rFonts w:cs="Wingdings"/>
    </w:rPr>
  </w:style>
  <w:style w:type="character" w:styleId="ListLabel971">
    <w:name w:val="ListLabel 971"/>
    <w:qFormat/>
    <w:rPr>
      <w:rFonts w:cs="Symbol"/>
    </w:rPr>
  </w:style>
  <w:style w:type="character" w:styleId="ListLabel972">
    <w:name w:val="ListLabel 972"/>
    <w:qFormat/>
    <w:rPr>
      <w:rFonts w:cs="Courier New"/>
    </w:rPr>
  </w:style>
  <w:style w:type="character" w:styleId="ListLabel973">
    <w:name w:val="ListLabel 973"/>
    <w:qFormat/>
    <w:rPr>
      <w:rFonts w:cs="Wingdings"/>
    </w:rPr>
  </w:style>
  <w:style w:type="character" w:styleId="ListLabel974">
    <w:name w:val="ListLabel 974"/>
    <w:qFormat/>
    <w:rPr>
      <w:rFonts w:cs="Symbol"/>
    </w:rPr>
  </w:style>
  <w:style w:type="character" w:styleId="ListLabel975">
    <w:name w:val="ListLabel 975"/>
    <w:qFormat/>
    <w:rPr>
      <w:rFonts w:cs="Courier New"/>
    </w:rPr>
  </w:style>
  <w:style w:type="character" w:styleId="ListLabel976">
    <w:name w:val="ListLabel 976"/>
    <w:qFormat/>
    <w:rPr>
      <w:rFonts w:cs="Wingdings"/>
    </w:rPr>
  </w:style>
  <w:style w:type="character" w:styleId="ListLabel977">
    <w:name w:val="ListLabel 977"/>
    <w:qFormat/>
    <w:rPr>
      <w:i w:val="false"/>
      <w:lang w:val="en-US"/>
    </w:rPr>
  </w:style>
  <w:style w:type="character" w:styleId="ListLabel978">
    <w:name w:val="ListLabel 978"/>
    <w:qFormat/>
    <w:rPr>
      <w:b/>
      <w:i w:val="false"/>
      <w:sz w:val="24"/>
      <w:effect w:val="none"/>
    </w:rPr>
  </w:style>
  <w:style w:type="character" w:styleId="ListLabel979">
    <w:name w:val="ListLabel 979"/>
    <w:qFormat/>
    <w:rPr/>
  </w:style>
  <w:style w:type="character" w:styleId="ListLabel980">
    <w:name w:val="ListLabel 980"/>
    <w:qFormat/>
    <w:rPr>
      <w:rFonts w:ascii="Times New Roman" w:hAnsi="Times New Roman"/>
      <w:b/>
      <w:bCs/>
      <w:sz w:val="20"/>
      <w:szCs w:val="20"/>
      <w:lang w:eastAsia="x-none"/>
    </w:rPr>
  </w:style>
  <w:style w:type="character" w:styleId="NumberingSymbols">
    <w:name w:val="Numbering Symbols"/>
    <w:qFormat/>
    <w:rPr/>
  </w:style>
  <w:style w:type="character" w:styleId="ListLabel981">
    <w:name w:val="ListLabel 981"/>
    <w:qFormat/>
    <w:rPr>
      <w:b/>
      <w:i w:val="false"/>
      <w:sz w:val="24"/>
      <w:effect w:val="none"/>
    </w:rPr>
  </w:style>
  <w:style w:type="character" w:styleId="ListLabel982">
    <w:name w:val="ListLabel 982"/>
    <w:qFormat/>
    <w:rPr>
      <w:rFonts w:cs="Symbol"/>
    </w:rPr>
  </w:style>
  <w:style w:type="character" w:styleId="ListLabel983">
    <w:name w:val="ListLabel 983"/>
    <w:qFormat/>
    <w:rPr>
      <w:rFonts w:cs="Courier New"/>
    </w:rPr>
  </w:style>
  <w:style w:type="character" w:styleId="ListLabel984">
    <w:name w:val="ListLabel 984"/>
    <w:qFormat/>
    <w:rPr>
      <w:rFonts w:cs="Wingdings"/>
    </w:rPr>
  </w:style>
  <w:style w:type="character" w:styleId="ListLabel985">
    <w:name w:val="ListLabel 985"/>
    <w:qFormat/>
    <w:rPr>
      <w:rFonts w:cs="Symbol"/>
    </w:rPr>
  </w:style>
  <w:style w:type="character" w:styleId="ListLabel986">
    <w:name w:val="ListLabel 986"/>
    <w:qFormat/>
    <w:rPr>
      <w:rFonts w:cs="Courier New"/>
    </w:rPr>
  </w:style>
  <w:style w:type="character" w:styleId="ListLabel987">
    <w:name w:val="ListLabel 987"/>
    <w:qFormat/>
    <w:rPr>
      <w:rFonts w:cs="Wingdings"/>
    </w:rPr>
  </w:style>
  <w:style w:type="character" w:styleId="ListLabel988">
    <w:name w:val="ListLabel 988"/>
    <w:qFormat/>
    <w:rPr>
      <w:rFonts w:cs="Symbol"/>
    </w:rPr>
  </w:style>
  <w:style w:type="character" w:styleId="ListLabel989">
    <w:name w:val="ListLabel 989"/>
    <w:qFormat/>
    <w:rPr>
      <w:rFonts w:cs="Courier New"/>
    </w:rPr>
  </w:style>
  <w:style w:type="character" w:styleId="ListLabel990">
    <w:name w:val="ListLabel 990"/>
    <w:qFormat/>
    <w:rPr>
      <w:rFonts w:cs="Wingdings"/>
    </w:rPr>
  </w:style>
  <w:style w:type="character" w:styleId="ListLabel991">
    <w:name w:val="ListLabel 991"/>
    <w:qFormat/>
    <w:rPr>
      <w:rFonts w:cs="Arial"/>
    </w:rPr>
  </w:style>
  <w:style w:type="character" w:styleId="ListLabel992">
    <w:name w:val="ListLabel 992"/>
    <w:qFormat/>
    <w:rPr>
      <w:rFonts w:cs="Courier New"/>
      <w:sz w:val="20"/>
    </w:rPr>
  </w:style>
  <w:style w:type="character" w:styleId="ListLabel993">
    <w:name w:val="ListLabel 993"/>
    <w:qFormat/>
    <w:rPr>
      <w:rFonts w:cs="Wingdings"/>
      <w:sz w:val="20"/>
    </w:rPr>
  </w:style>
  <w:style w:type="character" w:styleId="ListLabel994">
    <w:name w:val="ListLabel 994"/>
    <w:qFormat/>
    <w:rPr>
      <w:rFonts w:cs="Symbol"/>
    </w:rPr>
  </w:style>
  <w:style w:type="character" w:styleId="ListLabel995">
    <w:name w:val="ListLabel 995"/>
    <w:qFormat/>
    <w:rPr>
      <w:rFonts w:cs="Courier New"/>
    </w:rPr>
  </w:style>
  <w:style w:type="character" w:styleId="ListLabel996">
    <w:name w:val="ListLabel 996"/>
    <w:qFormat/>
    <w:rPr>
      <w:rFonts w:cs="Wingdings"/>
    </w:rPr>
  </w:style>
  <w:style w:type="character" w:styleId="ListLabel997">
    <w:name w:val="ListLabel 997"/>
    <w:qFormat/>
    <w:rPr>
      <w:rFonts w:cs="Symbol"/>
    </w:rPr>
  </w:style>
  <w:style w:type="character" w:styleId="ListLabel998">
    <w:name w:val="ListLabel 998"/>
    <w:qFormat/>
    <w:rPr>
      <w:rFonts w:cs="Courier New"/>
    </w:rPr>
  </w:style>
  <w:style w:type="character" w:styleId="ListLabel999">
    <w:name w:val="ListLabel 999"/>
    <w:qFormat/>
    <w:rPr>
      <w:rFonts w:cs="Wingdings"/>
    </w:rPr>
  </w:style>
  <w:style w:type="character" w:styleId="ListLabel1000">
    <w:name w:val="ListLabel 1000"/>
    <w:qFormat/>
    <w:rPr>
      <w:rFonts w:cs="Symbol"/>
      <w:sz w:val="20"/>
    </w:rPr>
  </w:style>
  <w:style w:type="character" w:styleId="ListLabel1001">
    <w:name w:val="ListLabel 1001"/>
    <w:qFormat/>
    <w:rPr>
      <w:rFonts w:cs="Courier New"/>
      <w:sz w:val="20"/>
    </w:rPr>
  </w:style>
  <w:style w:type="character" w:styleId="ListLabel1002">
    <w:name w:val="ListLabel 1002"/>
    <w:qFormat/>
    <w:rPr>
      <w:rFonts w:cs="Wingdings"/>
    </w:rPr>
  </w:style>
  <w:style w:type="character" w:styleId="ListLabel1003">
    <w:name w:val="ListLabel 1003"/>
    <w:qFormat/>
    <w:rPr>
      <w:rFonts w:cs="Symbol"/>
    </w:rPr>
  </w:style>
  <w:style w:type="character" w:styleId="ListLabel1004">
    <w:name w:val="ListLabel 1004"/>
    <w:qFormat/>
    <w:rPr>
      <w:rFonts w:cs="Courier New"/>
    </w:rPr>
  </w:style>
  <w:style w:type="character" w:styleId="ListLabel1005">
    <w:name w:val="ListLabel 1005"/>
    <w:qFormat/>
    <w:rPr>
      <w:rFonts w:cs="Wingdings"/>
    </w:rPr>
  </w:style>
  <w:style w:type="character" w:styleId="ListLabel1006">
    <w:name w:val="ListLabel 1006"/>
    <w:qFormat/>
    <w:rPr>
      <w:rFonts w:cs="Symbol"/>
    </w:rPr>
  </w:style>
  <w:style w:type="character" w:styleId="ListLabel1007">
    <w:name w:val="ListLabel 1007"/>
    <w:qFormat/>
    <w:rPr>
      <w:rFonts w:cs="Courier New"/>
    </w:rPr>
  </w:style>
  <w:style w:type="character" w:styleId="ListLabel1008">
    <w:name w:val="ListLabel 1008"/>
    <w:qFormat/>
    <w:rPr>
      <w:rFonts w:cs="Wingdings"/>
    </w:rPr>
  </w:style>
  <w:style w:type="character" w:styleId="ListLabel1009">
    <w:name w:val="ListLabel 1009"/>
    <w:qFormat/>
    <w:rPr>
      <w:rFonts w:cs="Symbol"/>
    </w:rPr>
  </w:style>
  <w:style w:type="character" w:styleId="ListLabel1010">
    <w:name w:val="ListLabel 1010"/>
    <w:qFormat/>
    <w:rPr>
      <w:rFonts w:cs="Courier New"/>
    </w:rPr>
  </w:style>
  <w:style w:type="character" w:styleId="ListLabel1011">
    <w:name w:val="ListLabel 1011"/>
    <w:qFormat/>
    <w:rPr>
      <w:rFonts w:cs="Wingdings"/>
    </w:rPr>
  </w:style>
  <w:style w:type="character" w:styleId="ListLabel1012">
    <w:name w:val="ListLabel 1012"/>
    <w:qFormat/>
    <w:rPr>
      <w:rFonts w:cs="Symbol"/>
    </w:rPr>
  </w:style>
  <w:style w:type="character" w:styleId="ListLabel1013">
    <w:name w:val="ListLabel 1013"/>
    <w:qFormat/>
    <w:rPr>
      <w:rFonts w:cs="Courier New"/>
    </w:rPr>
  </w:style>
  <w:style w:type="character" w:styleId="ListLabel1014">
    <w:name w:val="ListLabel 1014"/>
    <w:qFormat/>
    <w:rPr>
      <w:rFonts w:cs="Wingdings"/>
    </w:rPr>
  </w:style>
  <w:style w:type="character" w:styleId="ListLabel1015">
    <w:name w:val="ListLabel 1015"/>
    <w:qFormat/>
    <w:rPr>
      <w:rFonts w:cs="Symbol"/>
    </w:rPr>
  </w:style>
  <w:style w:type="character" w:styleId="ListLabel1016">
    <w:name w:val="ListLabel 1016"/>
    <w:qFormat/>
    <w:rPr>
      <w:rFonts w:cs="Courier New"/>
    </w:rPr>
  </w:style>
  <w:style w:type="character" w:styleId="ListLabel1017">
    <w:name w:val="ListLabel 1017"/>
    <w:qFormat/>
    <w:rPr>
      <w:rFonts w:cs="Wingdings"/>
    </w:rPr>
  </w:style>
  <w:style w:type="character" w:styleId="ListLabel1018">
    <w:name w:val="ListLabel 1018"/>
    <w:qFormat/>
    <w:rPr>
      <w:rFonts w:ascii="Times New Roman" w:hAnsi="Times New Roman" w:eastAsia="SimSun" w:cs="SimSun"/>
      <w:b w:val="false"/>
      <w:bCs w:val="false"/>
      <w:sz w:val="20"/>
      <w:szCs w:val="20"/>
      <w:lang w:val="en-US" w:eastAsia="zh-CN"/>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rPr>
  </w:style>
  <w:style w:type="paragraph" w:styleId="BodyTextIndent2">
    <w:name w:val="Body Text Indent 2"/>
    <w:basedOn w:val="Normal"/>
    <w:link w:val="BodyTextIndent2Char"/>
    <w:qFormat/>
    <w:rsid w:val="00b27d31"/>
    <w:pPr>
      <w:widowControl w:val="false"/>
      <w:tabs>
        <w:tab w:val="left" w:pos="2205" w:leader="none"/>
      </w:tabs>
      <w:spacing w:lineRule="auto" w:line="259"/>
      <w:ind w:left="200" w:hanging="0"/>
      <w:jc w:val="both"/>
      <w:textAlignment w:val="baseline"/>
    </w:pPr>
    <w:rPr>
      <w:rFonts w:ascii="Calibri" w:hAnsi="Calibri" w:eastAsia="" w:cs="" w:asciiTheme="minorHAnsi" w:cstheme="minorBidi" w:eastAsiaTheme="minorEastAsia" w:hAnsiTheme="minorHAnsi"/>
      <w:kern w:val="2"/>
      <w:sz w:val="22"/>
      <w:szCs w:val="22"/>
      <w:lang w:val="en-US" w:eastAsia="ja-JP"/>
    </w:rPr>
  </w:style>
  <w:style w:type="paragraph" w:styleId="ListParagraph">
    <w:name w:val="List Paragraph"/>
    <w:basedOn w:val="Normal"/>
    <w:link w:val="ListParagraphChar"/>
    <w:uiPriority w:val="34"/>
    <w:qFormat/>
    <w:rsid w:val="00d0408c"/>
    <w:pPr>
      <w:ind w:firstLine="420"/>
    </w:pPr>
    <w:rPr>
      <w:rFonts w:ascii="SimSun" w:hAnsi="SimSun" w:eastAsia="SimSun" w:cs="SimSun"/>
      <w:sz w:val="24"/>
      <w:lang w:val="en-US" w:eastAsia="zh-CN"/>
    </w:rPr>
  </w:style>
  <w:style w:type="paragraph" w:styleId="Annotationtext">
    <w:name w:val="annotation text"/>
    <w:basedOn w:val="Normal"/>
    <w:link w:val="CommentTextChar"/>
    <w:uiPriority w:val="99"/>
    <w:semiHidden/>
    <w:unhideWhenUsed/>
    <w:qFormat/>
    <w:rsid w:val="009b4c55"/>
    <w:pPr/>
    <w:rPr>
      <w:szCs w:val="20"/>
    </w:rPr>
  </w:style>
  <w:style w:type="paragraph" w:styleId="Annotationsubject">
    <w:name w:val="annotation subject"/>
    <w:basedOn w:val="Annotationtext"/>
    <w:link w:val="CommentSubjectChar"/>
    <w:uiPriority w:val="99"/>
    <w:semiHidden/>
    <w:unhideWhenUsed/>
    <w:qFormat/>
    <w:rsid w:val="009b4c55"/>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3gpp.org/ftp/tsg_ran/TSG_RAN/TSGR_81/Docs/RP-182155.zip"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3FD85-637E-4A9F-BF36-DCC0B87D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Application>LibreOffice/6.0.3.2$Linux_X86_64 LibreOffice_project/00m0$Build-2</Application>
  <Pages>3</Pages>
  <Words>1003</Words>
  <Characters>5565</Characters>
  <CharactersWithSpaces>6498</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2021-08-07T04:49:00Z</dcterms:created>
  <dc:creator>Abhijeet Masal</dc:creator>
  <dc:description/>
  <dc:language>en-IN</dc:language>
  <cp:lastModifiedBy/>
  <dcterms:modified xsi:type="dcterms:W3CDTF">2021-08-07T11:28:42Z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